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after="156" w:afterLines="50"/>
        <w:jc w:val="center"/>
        <w:rPr>
          <w:b/>
          <w:sz w:val="24"/>
          <w:szCs w:val="24"/>
        </w:rPr>
      </w:pPr>
      <w:r>
        <w:rPr>
          <w:rFonts w:hint="eastAsia"/>
          <w:b/>
          <w:sz w:val="24"/>
          <w:szCs w:val="24"/>
        </w:rPr>
        <w:t>(社会</w:t>
      </w:r>
      <w:r>
        <w:rPr>
          <w:b/>
          <w:sz w:val="24"/>
          <w:szCs w:val="24"/>
        </w:rPr>
        <w:t>公民</w:t>
      </w:r>
      <w:r>
        <w:rPr>
          <w:rFonts w:hint="eastAsia"/>
          <w:b/>
          <w:sz w:val="24"/>
          <w:szCs w:val="24"/>
        </w:rPr>
        <w:t>)</w:t>
      </w: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20</w:t>
      </w:r>
      <w:r>
        <w:rPr>
          <w:rFonts w:hint="eastAsia"/>
          <w:b/>
          <w:sz w:val="24"/>
          <w:szCs w:val="24"/>
          <w:u w:val="single"/>
        </w:rPr>
        <w:t>2</w:t>
      </w:r>
      <w:r>
        <w:rPr>
          <w:rFonts w:hint="eastAsia"/>
          <w:b/>
          <w:sz w:val="24"/>
          <w:szCs w:val="24"/>
          <w:u w:val="single"/>
          <w:lang w:val="en-US" w:eastAsia="zh-CN"/>
        </w:rPr>
        <w:t>2</w:t>
      </w:r>
      <w:r>
        <w:rPr>
          <w:b/>
          <w:sz w:val="24"/>
          <w:szCs w:val="24"/>
          <w:u w:val="single"/>
        </w:rPr>
        <w:t>年   月   日</w:t>
      </w:r>
    </w:p>
    <w:tbl>
      <w:tblPr>
        <w:tblStyle w:val="4"/>
        <w:tblW w:w="9177"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951"/>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1771" w:type="dxa"/>
            <w:vAlign w:val="center"/>
          </w:tcPr>
          <w:p>
            <w:pPr>
              <w:adjustRightInd w:val="0"/>
              <w:snapToGrid w:val="0"/>
              <w:rPr>
                <w:rFonts w:eastAsia="宋体"/>
                <w:sz w:val="21"/>
                <w:szCs w:val="21"/>
              </w:rPr>
            </w:pPr>
            <w:r>
              <w:rPr>
                <w:rFonts w:eastAsia="宋体"/>
                <w:bCs/>
                <w:sz w:val="21"/>
                <w:szCs w:val="21"/>
              </w:rPr>
              <w:t>项目名称</w:t>
            </w:r>
          </w:p>
        </w:tc>
        <w:tc>
          <w:tcPr>
            <w:tcW w:w="7406" w:type="dxa"/>
            <w:gridSpan w:val="2"/>
            <w:vAlign w:val="center"/>
          </w:tcPr>
          <w:p>
            <w:pPr>
              <w:adjustRightInd w:val="0"/>
              <w:snapToGrid w:val="0"/>
              <w:jc w:val="center"/>
              <w:rPr>
                <w:rFonts w:eastAsia="宋体"/>
                <w:sz w:val="21"/>
                <w:szCs w:val="21"/>
              </w:rPr>
            </w:pPr>
            <w:r>
              <w:rPr>
                <w:rFonts w:hint="eastAsia" w:eastAsia="宋体"/>
                <w:sz w:val="21"/>
                <w:szCs w:val="21"/>
              </w:rPr>
              <w:t>云南天安化工有限公司10万吨/年电池级磷酸二氢铵项目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1" w:hRule="atLeast"/>
        </w:trPr>
        <w:tc>
          <w:tcPr>
            <w:tcW w:w="9177" w:type="dxa"/>
            <w:gridSpan w:val="3"/>
            <w:vAlign w:val="center"/>
          </w:tcPr>
          <w:p>
            <w:pPr>
              <w:adjustRightInd w:val="0"/>
              <w:snapToGrid w:val="0"/>
              <w:jc w:val="left"/>
              <w:rPr>
                <w:rFonts w:eastAsia="黑体"/>
                <w:sz w:val="21"/>
                <w:szCs w:val="21"/>
              </w:rPr>
            </w:pPr>
            <w:r>
              <w:rPr>
                <w:rFonts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141" w:hRule="atLeast"/>
        </w:trPr>
        <w:tc>
          <w:tcPr>
            <w:tcW w:w="1771" w:type="dxa"/>
            <w:vAlign w:val="center"/>
          </w:tcPr>
          <w:p>
            <w:pPr>
              <w:adjustRightInd w:val="0"/>
              <w:snapToGrid w:val="0"/>
              <w:rPr>
                <w:rFonts w:eastAsia="宋体"/>
                <w:sz w:val="21"/>
                <w:szCs w:val="21"/>
              </w:rPr>
            </w:pPr>
            <w:r>
              <w:rPr>
                <w:rFonts w:eastAsia="宋体"/>
                <w:b/>
                <w:bCs/>
                <w:sz w:val="21"/>
                <w:szCs w:val="21"/>
              </w:rPr>
              <w:t>与本项目环境影响和环境保护措施有关的建议和意见</w:t>
            </w:r>
            <w:r>
              <w:rPr>
                <w:rFonts w:eastAsia="宋体"/>
                <w:sz w:val="21"/>
                <w:szCs w:val="21"/>
              </w:rPr>
              <w:t>（</w:t>
            </w:r>
            <w:r>
              <w:rPr>
                <w:rFonts w:eastAsia="宋体"/>
                <w:b/>
                <w:bCs/>
                <w:sz w:val="21"/>
                <w:szCs w:val="21"/>
              </w:rPr>
              <w:t>注：</w:t>
            </w:r>
            <w:r>
              <w:rPr>
                <w:rFonts w:eastAsia="宋体"/>
                <w:sz w:val="21"/>
                <w:szCs w:val="21"/>
              </w:rPr>
              <w:t>根据《环境影响评价公众参与办法》规定，涉及</w:t>
            </w:r>
            <w:r>
              <w:rPr>
                <w:rFonts w:eastAsia="宋体"/>
                <w:b/>
                <w:bCs/>
                <w:sz w:val="21"/>
                <w:szCs w:val="21"/>
              </w:rPr>
              <w:t>征地拆迁、财产、就业</w:t>
            </w:r>
            <w:r>
              <w:rPr>
                <w:rFonts w:eastAsia="宋体"/>
                <w:sz w:val="21"/>
                <w:szCs w:val="21"/>
              </w:rPr>
              <w:t>等与项目环评无关的意见或者诉求不属于项目环评公参内容）</w:t>
            </w:r>
          </w:p>
        </w:tc>
        <w:tc>
          <w:tcPr>
            <w:tcW w:w="7406" w:type="dxa"/>
            <w:gridSpan w:val="2"/>
          </w:tcPr>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pStyle w:val="3"/>
              <w:rPr>
                <w:rFonts w:eastAsia="宋体"/>
                <w:sz w:val="21"/>
                <w:szCs w:val="21"/>
              </w:rPr>
            </w:pPr>
          </w:p>
          <w:p/>
          <w:p>
            <w:pPr>
              <w:adjustRightInd w:val="0"/>
              <w:snapToGrid w:val="0"/>
              <w:rPr>
                <w:rFonts w:eastAsia="宋体"/>
                <w:sz w:val="21"/>
                <w:szCs w:val="21"/>
              </w:rPr>
            </w:pPr>
          </w:p>
          <w:p>
            <w:pPr>
              <w:adjustRightInd w:val="0"/>
              <w:snapToGrid w:val="0"/>
              <w:rPr>
                <w:rFonts w:eastAsia="宋体"/>
                <w:sz w:val="21"/>
                <w:szCs w:val="21"/>
              </w:rPr>
            </w:pPr>
            <w:r>
              <w:rPr>
                <w:rFonts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9177" w:type="dxa"/>
            <w:gridSpan w:val="3"/>
            <w:vAlign w:val="center"/>
          </w:tcPr>
          <w:p>
            <w:pPr>
              <w:adjustRightInd w:val="0"/>
              <w:snapToGrid w:val="0"/>
              <w:rPr>
                <w:rFonts w:eastAsia="黑体"/>
                <w:sz w:val="21"/>
                <w:szCs w:val="21"/>
              </w:rPr>
            </w:pPr>
            <w:r>
              <w:rPr>
                <w:rFonts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3" w:hRule="atLeast"/>
        </w:trPr>
        <w:tc>
          <w:tcPr>
            <w:tcW w:w="9177" w:type="dxa"/>
            <w:gridSpan w:val="3"/>
            <w:vAlign w:val="center"/>
          </w:tcPr>
          <w:p>
            <w:pPr>
              <w:adjustRightInd w:val="0"/>
              <w:snapToGrid w:val="0"/>
              <w:rPr>
                <w:rFonts w:eastAsia="宋体"/>
                <w:sz w:val="21"/>
                <w:szCs w:val="21"/>
              </w:rPr>
            </w:pPr>
            <w:r>
              <w:rPr>
                <w:rFonts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4226" w:type="dxa"/>
            <w:gridSpan w:val="2"/>
            <w:vAlign w:val="center"/>
          </w:tcPr>
          <w:p>
            <w:pPr>
              <w:adjustRightInd w:val="0"/>
              <w:snapToGrid w:val="0"/>
              <w:jc w:val="center"/>
              <w:rPr>
                <w:rFonts w:eastAsia="宋体"/>
                <w:b/>
                <w:bCs/>
                <w:sz w:val="21"/>
                <w:szCs w:val="21"/>
              </w:rPr>
            </w:pPr>
            <w:r>
              <w:rPr>
                <w:rFonts w:eastAsia="宋体"/>
                <w:b/>
                <w:bCs/>
                <w:sz w:val="21"/>
                <w:szCs w:val="21"/>
              </w:rPr>
              <w:t>姓   名</w:t>
            </w:r>
          </w:p>
        </w:tc>
        <w:tc>
          <w:tcPr>
            <w:tcW w:w="4951" w:type="dxa"/>
            <w:vAlign w:val="center"/>
          </w:tcPr>
          <w:p>
            <w:pPr>
              <w:adjustRightInd w:val="0"/>
              <w:snapToGrid w:val="0"/>
              <w:rPr>
                <w:rFonts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4226" w:type="dxa"/>
            <w:gridSpan w:val="2"/>
            <w:vAlign w:val="center"/>
          </w:tcPr>
          <w:p>
            <w:pPr>
              <w:adjustRightInd w:val="0"/>
              <w:snapToGrid w:val="0"/>
              <w:jc w:val="center"/>
              <w:rPr>
                <w:rFonts w:eastAsia="宋体"/>
                <w:b/>
                <w:bCs/>
                <w:sz w:val="21"/>
                <w:szCs w:val="21"/>
              </w:rPr>
            </w:pPr>
            <w:r>
              <w:rPr>
                <w:rFonts w:eastAsia="宋体"/>
                <w:b/>
                <w:bCs/>
                <w:sz w:val="21"/>
                <w:szCs w:val="21"/>
              </w:rPr>
              <w:t>身份证号</w:t>
            </w:r>
          </w:p>
        </w:tc>
        <w:tc>
          <w:tcPr>
            <w:tcW w:w="4951" w:type="dxa"/>
            <w:vAlign w:val="center"/>
          </w:tcPr>
          <w:p>
            <w:pPr>
              <w:adjustRightInd w:val="0"/>
              <w:snapToGrid w:val="0"/>
              <w:rPr>
                <w:rFonts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2" w:hRule="atLeast"/>
        </w:trPr>
        <w:tc>
          <w:tcPr>
            <w:tcW w:w="4226" w:type="dxa"/>
            <w:gridSpan w:val="2"/>
            <w:vAlign w:val="center"/>
          </w:tcPr>
          <w:p>
            <w:pPr>
              <w:adjustRightInd w:val="0"/>
              <w:snapToGrid w:val="0"/>
              <w:jc w:val="center"/>
              <w:rPr>
                <w:rFonts w:eastAsia="宋体"/>
                <w:b/>
                <w:bCs/>
                <w:sz w:val="21"/>
                <w:szCs w:val="21"/>
              </w:rPr>
            </w:pPr>
            <w:r>
              <w:rPr>
                <w:rFonts w:eastAsia="宋体"/>
                <w:b/>
                <w:bCs/>
                <w:sz w:val="21"/>
                <w:szCs w:val="21"/>
              </w:rPr>
              <w:t>有效联系方式</w:t>
            </w:r>
          </w:p>
          <w:p>
            <w:pPr>
              <w:adjustRightInd w:val="0"/>
              <w:snapToGrid w:val="0"/>
              <w:jc w:val="center"/>
              <w:rPr>
                <w:rFonts w:eastAsia="宋体"/>
                <w:sz w:val="21"/>
                <w:szCs w:val="21"/>
              </w:rPr>
            </w:pPr>
            <w:r>
              <w:rPr>
                <w:rFonts w:eastAsia="宋体"/>
                <w:sz w:val="21"/>
                <w:szCs w:val="21"/>
              </w:rPr>
              <w:t>（电话号码或邮箱）</w:t>
            </w:r>
          </w:p>
        </w:tc>
        <w:tc>
          <w:tcPr>
            <w:tcW w:w="4951" w:type="dxa"/>
            <w:vAlign w:val="center"/>
          </w:tcPr>
          <w:p>
            <w:pPr>
              <w:adjustRightInd w:val="0"/>
              <w:snapToGrid w:val="0"/>
              <w:rPr>
                <w:rFonts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4226" w:type="dxa"/>
            <w:gridSpan w:val="2"/>
            <w:vAlign w:val="center"/>
          </w:tcPr>
          <w:p>
            <w:pPr>
              <w:adjustRightInd w:val="0"/>
              <w:snapToGrid w:val="0"/>
              <w:jc w:val="center"/>
              <w:rPr>
                <w:rFonts w:eastAsia="宋体"/>
                <w:b/>
                <w:bCs/>
                <w:sz w:val="21"/>
                <w:szCs w:val="21"/>
              </w:rPr>
            </w:pPr>
            <w:r>
              <w:rPr>
                <w:rFonts w:eastAsia="宋体"/>
                <w:b/>
                <w:bCs/>
                <w:sz w:val="21"/>
                <w:szCs w:val="21"/>
              </w:rPr>
              <w:t>经常居住地址</w:t>
            </w:r>
          </w:p>
        </w:tc>
        <w:tc>
          <w:tcPr>
            <w:tcW w:w="4951" w:type="dxa"/>
            <w:vAlign w:val="center"/>
          </w:tcPr>
          <w:p>
            <w:pPr>
              <w:adjustRightInd w:val="0"/>
              <w:snapToGrid w:val="0"/>
              <w:rPr>
                <w:rFonts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226" w:type="dxa"/>
            <w:gridSpan w:val="2"/>
            <w:vAlign w:val="center"/>
          </w:tcPr>
          <w:p>
            <w:pPr>
              <w:adjustRightInd w:val="0"/>
              <w:snapToGrid w:val="0"/>
              <w:jc w:val="center"/>
              <w:rPr>
                <w:rFonts w:eastAsia="宋体"/>
                <w:b/>
                <w:bCs/>
                <w:sz w:val="21"/>
                <w:szCs w:val="21"/>
              </w:rPr>
            </w:pPr>
            <w:r>
              <w:rPr>
                <w:rFonts w:eastAsia="宋体"/>
                <w:b/>
                <w:bCs/>
                <w:sz w:val="21"/>
                <w:szCs w:val="21"/>
              </w:rPr>
              <w:t>是否同意公开个人信息</w:t>
            </w:r>
          </w:p>
          <w:p>
            <w:pPr>
              <w:adjustRightInd w:val="0"/>
              <w:snapToGrid w:val="0"/>
              <w:jc w:val="center"/>
              <w:rPr>
                <w:rFonts w:eastAsia="宋体"/>
                <w:b/>
                <w:bCs/>
                <w:sz w:val="21"/>
                <w:szCs w:val="21"/>
              </w:rPr>
            </w:pPr>
            <w:r>
              <w:rPr>
                <w:rFonts w:eastAsia="宋体"/>
                <w:sz w:val="21"/>
                <w:szCs w:val="21"/>
              </w:rPr>
              <w:t>（填同意或不同意）</w:t>
            </w:r>
          </w:p>
        </w:tc>
        <w:tc>
          <w:tcPr>
            <w:tcW w:w="4951" w:type="dxa"/>
            <w:vAlign w:val="center"/>
          </w:tcPr>
          <w:p>
            <w:pPr>
              <w:adjustRightInd w:val="0"/>
              <w:snapToGrid w:val="0"/>
              <w:rPr>
                <w:rFonts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9177" w:type="dxa"/>
            <w:gridSpan w:val="3"/>
            <w:vAlign w:val="center"/>
          </w:tcPr>
          <w:p>
            <w:pPr>
              <w:adjustRightInd w:val="0"/>
              <w:snapToGrid w:val="0"/>
              <w:rPr>
                <w:rFonts w:eastAsia="宋体"/>
                <w:sz w:val="21"/>
                <w:szCs w:val="21"/>
              </w:rPr>
            </w:pPr>
            <w:r>
              <w:rPr>
                <w:rFonts w:eastAsia="宋体"/>
                <w:b/>
                <w:bCs/>
                <w:sz w:val="21"/>
                <w:szCs w:val="21"/>
              </w:rPr>
              <w:t>三、本页为项目信息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9177" w:type="dxa"/>
            <w:gridSpan w:val="3"/>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eastAsia="宋体"/>
                <w:b/>
                <w:bCs/>
                <w:sz w:val="21"/>
                <w:szCs w:val="21"/>
              </w:rPr>
            </w:pPr>
            <w:r>
              <w:rPr>
                <w:rFonts w:eastAsia="宋体"/>
                <w:b/>
                <w:bCs/>
                <w:sz w:val="21"/>
                <w:szCs w:val="21"/>
              </w:rPr>
              <w:t>（一）项目基本信息</w:t>
            </w:r>
          </w:p>
          <w:p>
            <w:pPr>
              <w:adjustRightInd w:val="0"/>
              <w:snapToGrid w:val="0"/>
              <w:spacing w:line="360" w:lineRule="auto"/>
              <w:ind w:firstLine="420" w:firstLineChars="200"/>
              <w:rPr>
                <w:rFonts w:hint="eastAsia" w:eastAsia="宋体"/>
                <w:sz w:val="21"/>
                <w:szCs w:val="21"/>
              </w:rPr>
            </w:pPr>
            <w:r>
              <w:rPr>
                <w:rFonts w:hint="eastAsia" w:eastAsia="宋体"/>
                <w:sz w:val="21"/>
                <w:szCs w:val="21"/>
              </w:rPr>
              <w:t>云南天安化工有限公司厂区位于昆明市西南方向47公里处的草铺工业园区内，中心地理坐标为东经：102°21′43.18″，北纬：24°56′36.45″，距安宁市区直线距离12公里，距昆明市西郊碧鸡关直线距离25公里。厂区占地约52.9公顷。公司生产厂区包括生产装置区及配套罐区和公辅设施等。</w:t>
            </w:r>
          </w:p>
          <w:p>
            <w:pPr>
              <w:adjustRightInd w:val="0"/>
              <w:snapToGrid w:val="0"/>
              <w:spacing w:line="360" w:lineRule="auto"/>
              <w:ind w:firstLine="420" w:firstLineChars="200"/>
              <w:rPr>
                <w:rFonts w:hint="default" w:eastAsia="宋体"/>
                <w:sz w:val="21"/>
                <w:szCs w:val="21"/>
                <w:lang w:val="en-US" w:eastAsia="zh-CN"/>
              </w:rPr>
            </w:pPr>
            <w:r>
              <w:rPr>
                <w:rFonts w:hint="eastAsia" w:eastAsia="宋体"/>
                <w:sz w:val="21"/>
                <w:szCs w:val="21"/>
              </w:rPr>
              <w:t>云南天安化工有限公司</w:t>
            </w:r>
            <w:r>
              <w:rPr>
                <w:rFonts w:hint="eastAsia" w:eastAsia="宋体"/>
                <w:sz w:val="21"/>
                <w:szCs w:val="21"/>
                <w:lang w:val="en-US" w:eastAsia="zh-CN"/>
              </w:rPr>
              <w:t>投资6621.34万元在云南天安化工有限公司厂区现有水溶性磷肥装置区域内建设“云南天安化工有限公司10万吨/年电池级磷酸二氢铵项目”。</w:t>
            </w:r>
          </w:p>
          <w:p>
            <w:pPr>
              <w:adjustRightInd w:val="0"/>
              <w:snapToGrid w:val="0"/>
              <w:spacing w:line="360" w:lineRule="auto"/>
              <w:ind w:firstLine="420" w:firstLineChars="200"/>
              <w:rPr>
                <w:rFonts w:eastAsia="宋体"/>
                <w:sz w:val="21"/>
                <w:szCs w:val="21"/>
              </w:rPr>
            </w:pPr>
            <w:r>
              <w:rPr>
                <w:rFonts w:hint="eastAsia" w:eastAsia="宋体"/>
                <w:sz w:val="21"/>
                <w:szCs w:val="21"/>
                <w:lang w:val="en-US" w:eastAsia="zh-CN"/>
              </w:rPr>
              <w:t>项目主要建设生产装置区、成品储运区和辅助生产装置区，办公生活区依托原有工程。占地面积378m</w:t>
            </w:r>
            <w:r>
              <w:rPr>
                <w:rFonts w:hint="eastAsia" w:eastAsia="宋体"/>
                <w:sz w:val="21"/>
                <w:szCs w:val="21"/>
                <w:vertAlign w:val="superscript"/>
                <w:lang w:val="en-US" w:eastAsia="zh-CN"/>
              </w:rPr>
              <w:t>2</w:t>
            </w:r>
            <w:r>
              <w:rPr>
                <w:rFonts w:hint="eastAsia" w:eastAsia="宋体"/>
                <w:sz w:val="21"/>
                <w:szCs w:val="21"/>
                <w:lang w:val="en-US" w:eastAsia="zh-CN"/>
              </w:rPr>
              <w:t>，建筑面积1512m</w:t>
            </w:r>
            <w:r>
              <w:rPr>
                <w:rFonts w:hint="eastAsia" w:eastAsia="宋体"/>
                <w:sz w:val="21"/>
                <w:szCs w:val="21"/>
                <w:vertAlign w:val="superscript"/>
                <w:lang w:val="en-US" w:eastAsia="zh-CN"/>
              </w:rPr>
              <w:t>2</w:t>
            </w:r>
            <w:r>
              <w:rPr>
                <w:rFonts w:hint="eastAsia" w:eastAsia="宋体"/>
                <w:sz w:val="21"/>
                <w:szCs w:val="21"/>
                <w:lang w:val="en-US" w:eastAsia="zh-CN"/>
              </w:rPr>
              <w:t>，此次技改为在现有“10万吨/年设施农业用水溶性磷酸一铵技改项目”装置上进行，主要设施设备和装置依托现有，对部分建构筑物拆除后重建，并新增部分设备。项目建成后年生产电池级磷酸二氢铵10万吨。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032" w:hRule="atLeast"/>
        </w:trPr>
        <w:tc>
          <w:tcPr>
            <w:tcW w:w="9177" w:type="dxa"/>
            <w:gridSpan w:val="3"/>
            <w:vAlign w:val="center"/>
          </w:tcPr>
          <w:p>
            <w:pPr>
              <w:adjustRightInd w:val="0"/>
              <w:snapToGrid w:val="0"/>
              <w:spacing w:line="360" w:lineRule="auto"/>
              <w:rPr>
                <w:rFonts w:eastAsia="宋体"/>
                <w:b/>
                <w:sz w:val="21"/>
                <w:szCs w:val="21"/>
              </w:rPr>
            </w:pPr>
            <w:r>
              <w:rPr>
                <w:rFonts w:eastAsia="宋体"/>
                <w:b/>
                <w:sz w:val="21"/>
                <w:szCs w:val="21"/>
              </w:rPr>
              <w:t>（二）项目采取的环保措施及效果</w:t>
            </w:r>
          </w:p>
          <w:p>
            <w:pPr>
              <w:adjustRightInd w:val="0"/>
              <w:snapToGrid w:val="0"/>
              <w:spacing w:line="360" w:lineRule="auto"/>
              <w:ind w:firstLine="422" w:firstLineChars="200"/>
              <w:rPr>
                <w:rFonts w:hint="default" w:eastAsia="宋体"/>
                <w:b w:val="0"/>
                <w:bCs/>
                <w:sz w:val="21"/>
                <w:szCs w:val="21"/>
                <w:lang w:val="en-US" w:eastAsia="zh-CN"/>
              </w:rPr>
            </w:pPr>
            <w:r>
              <w:rPr>
                <w:rFonts w:eastAsia="宋体"/>
                <w:b/>
                <w:sz w:val="21"/>
                <w:szCs w:val="21"/>
              </w:rPr>
              <w:t>废水：</w:t>
            </w:r>
            <w:r>
              <w:rPr>
                <w:rFonts w:hint="eastAsia" w:eastAsia="宋体"/>
                <w:b w:val="0"/>
                <w:bCs/>
                <w:sz w:val="21"/>
                <w:szCs w:val="21"/>
                <w:lang w:val="en-US" w:eastAsia="zh-CN"/>
              </w:rPr>
              <w:t>浓缩冷却水池排水、地坪冲洗废水，进入装置区尾气系统系统补水；Ⅱ效冷凝水，经冷凝水收集池收集后，部分作为稀释浓缩液用水其余回用至配酸槽调酸；尾气洗涤系统排水进入洗涤排水槽收集内回用作为肥料级MAP装置调酸用水，不外排；供热蒸汽换热后产生的蒸汽冷凝水为清净水，返回进入厂区回用水系统回用；工作人员从公司现有员工中调配，不新增工作人员，不新增生活污水。</w:t>
            </w:r>
          </w:p>
          <w:p>
            <w:pPr>
              <w:adjustRightInd w:val="0"/>
              <w:snapToGrid w:val="0"/>
              <w:spacing w:line="360" w:lineRule="auto"/>
              <w:ind w:firstLine="422" w:firstLineChars="200"/>
              <w:rPr>
                <w:rFonts w:hint="default" w:eastAsia="宋体"/>
                <w:b w:val="0"/>
                <w:bCs/>
                <w:sz w:val="21"/>
                <w:szCs w:val="21"/>
                <w:lang w:val="en-US" w:eastAsia="zh-CN"/>
              </w:rPr>
            </w:pPr>
            <w:r>
              <w:rPr>
                <w:rFonts w:eastAsia="宋体"/>
                <w:b/>
                <w:sz w:val="21"/>
                <w:szCs w:val="21"/>
              </w:rPr>
              <w:t>废气：</w:t>
            </w:r>
            <w:r>
              <w:rPr>
                <w:rFonts w:hint="eastAsia" w:eastAsia="宋体"/>
                <w:b w:val="0"/>
                <w:bCs/>
                <w:sz w:val="21"/>
                <w:szCs w:val="21"/>
              </w:rPr>
              <w:t>喷雾干燥塔尾气</w:t>
            </w:r>
            <w:r>
              <w:rPr>
                <w:rFonts w:hint="eastAsia" w:eastAsia="宋体"/>
                <w:b w:val="0"/>
                <w:bCs/>
                <w:sz w:val="21"/>
                <w:szCs w:val="21"/>
                <w:lang w:val="en-US" w:eastAsia="zh-CN"/>
              </w:rPr>
              <w:t>经布袋除尘器、尾气洗涤系统和末端尾气洗涤塔处理后</w:t>
            </w:r>
            <w:r>
              <w:rPr>
                <w:rFonts w:hint="eastAsia" w:eastAsia="宋体"/>
                <w:b w:val="0"/>
                <w:bCs/>
                <w:sz w:val="21"/>
                <w:szCs w:val="21"/>
              </w:rPr>
              <w:t>由排气筒DA012达标排放</w:t>
            </w:r>
            <w:r>
              <w:rPr>
                <w:rFonts w:hint="eastAsia" w:eastAsia="宋体"/>
                <w:b w:val="0"/>
                <w:bCs/>
                <w:sz w:val="21"/>
                <w:szCs w:val="21"/>
                <w:lang w:eastAsia="zh-CN"/>
              </w:rPr>
              <w:t>；流化床干燥尾气</w:t>
            </w:r>
            <w:r>
              <w:rPr>
                <w:rFonts w:hint="eastAsia" w:eastAsia="宋体"/>
                <w:b w:val="0"/>
                <w:bCs/>
                <w:sz w:val="21"/>
                <w:szCs w:val="21"/>
                <w:lang w:val="en-US" w:eastAsia="zh-CN"/>
              </w:rPr>
              <w:t>经</w:t>
            </w:r>
            <w:r>
              <w:rPr>
                <w:rFonts w:hint="eastAsia" w:eastAsia="宋体"/>
                <w:b w:val="0"/>
                <w:bCs/>
                <w:sz w:val="21"/>
                <w:szCs w:val="21"/>
                <w:lang w:eastAsia="zh-CN"/>
              </w:rPr>
              <w:t>布袋除尘器除尘后</w:t>
            </w:r>
            <w:r>
              <w:rPr>
                <w:rFonts w:hint="eastAsia" w:eastAsia="宋体"/>
                <w:b w:val="0"/>
                <w:bCs/>
                <w:sz w:val="21"/>
                <w:szCs w:val="21"/>
                <w:lang w:val="en-US" w:eastAsia="zh-CN"/>
              </w:rPr>
              <w:t>由</w:t>
            </w:r>
            <w:r>
              <w:rPr>
                <w:rFonts w:hint="eastAsia" w:eastAsia="宋体"/>
                <w:b w:val="0"/>
                <w:bCs/>
                <w:sz w:val="21"/>
                <w:szCs w:val="21"/>
                <w:lang w:eastAsia="zh-CN"/>
              </w:rPr>
              <w:t>排气筒DA012达标排放；包装尾气</w:t>
            </w:r>
            <w:r>
              <w:rPr>
                <w:rFonts w:hint="eastAsia" w:eastAsia="宋体"/>
                <w:b w:val="0"/>
                <w:bCs/>
                <w:sz w:val="21"/>
                <w:szCs w:val="21"/>
                <w:lang w:val="en-US" w:eastAsia="zh-CN"/>
              </w:rPr>
              <w:t>经布袋除尘器、尾气洗涤系统和末端尾气洗涤塔处理后</w:t>
            </w:r>
            <w:r>
              <w:rPr>
                <w:rFonts w:hint="eastAsia" w:eastAsia="宋体"/>
                <w:b w:val="0"/>
                <w:bCs/>
                <w:sz w:val="21"/>
                <w:szCs w:val="21"/>
              </w:rPr>
              <w:t>由排气筒DA012达标排放</w:t>
            </w:r>
            <w:r>
              <w:rPr>
                <w:rFonts w:hint="eastAsia" w:eastAsia="宋体"/>
                <w:b w:val="0"/>
                <w:bCs/>
                <w:sz w:val="21"/>
                <w:szCs w:val="21"/>
                <w:lang w:val="en-US" w:eastAsia="zh-CN"/>
              </w:rPr>
              <w:t>。</w:t>
            </w:r>
          </w:p>
          <w:p>
            <w:pPr>
              <w:adjustRightInd w:val="0"/>
              <w:snapToGrid w:val="0"/>
              <w:spacing w:line="360" w:lineRule="auto"/>
              <w:ind w:firstLine="422" w:firstLineChars="200"/>
              <w:rPr>
                <w:rFonts w:eastAsia="宋体"/>
                <w:b w:val="0"/>
                <w:bCs/>
                <w:sz w:val="21"/>
                <w:szCs w:val="21"/>
              </w:rPr>
            </w:pPr>
            <w:r>
              <w:rPr>
                <w:rFonts w:eastAsia="宋体"/>
                <w:b/>
                <w:sz w:val="21"/>
                <w:szCs w:val="21"/>
              </w:rPr>
              <w:t>噪声：</w:t>
            </w:r>
            <w:r>
              <w:rPr>
                <w:rFonts w:eastAsia="宋体"/>
                <w:b w:val="0"/>
                <w:bCs/>
                <w:sz w:val="21"/>
                <w:szCs w:val="21"/>
              </w:rPr>
              <w:t>项目噪声污染源主要有生产设备运行时产生的机械噪声和空气动力噪声。</w:t>
            </w:r>
            <w:r>
              <w:rPr>
                <w:rFonts w:hint="eastAsia" w:eastAsia="宋体"/>
                <w:b w:val="0"/>
                <w:bCs/>
                <w:sz w:val="21"/>
                <w:szCs w:val="21"/>
              </w:rPr>
              <w:t>经过建筑隔声后，场界噪声可达《工业企业厂界环境噪声排放标准》（GB12348-2008）3类</w:t>
            </w:r>
            <w:r>
              <w:rPr>
                <w:rFonts w:hint="eastAsia" w:eastAsia="宋体"/>
                <w:b w:val="0"/>
                <w:bCs/>
                <w:sz w:val="21"/>
                <w:szCs w:val="21"/>
                <w:lang w:val="en-US" w:eastAsia="zh-CN"/>
              </w:rPr>
              <w:t>及4a类</w:t>
            </w:r>
            <w:r>
              <w:rPr>
                <w:rFonts w:hint="eastAsia" w:eastAsia="宋体"/>
                <w:b w:val="0"/>
                <w:bCs/>
                <w:sz w:val="21"/>
                <w:szCs w:val="21"/>
              </w:rPr>
              <w:t>标准。</w:t>
            </w:r>
          </w:p>
          <w:p>
            <w:pPr>
              <w:adjustRightInd w:val="0"/>
              <w:snapToGrid w:val="0"/>
              <w:spacing w:line="360" w:lineRule="auto"/>
              <w:ind w:firstLine="422" w:firstLineChars="200"/>
              <w:rPr>
                <w:rFonts w:hint="eastAsia" w:eastAsia="宋体"/>
                <w:b w:val="0"/>
                <w:bCs/>
                <w:sz w:val="21"/>
                <w:szCs w:val="21"/>
              </w:rPr>
            </w:pPr>
            <w:r>
              <w:rPr>
                <w:rFonts w:eastAsia="宋体"/>
                <w:b/>
                <w:sz w:val="21"/>
                <w:szCs w:val="21"/>
              </w:rPr>
              <w:t>固废：</w:t>
            </w:r>
            <w:r>
              <w:rPr>
                <w:rFonts w:hint="eastAsia" w:eastAsia="宋体"/>
                <w:b w:val="0"/>
                <w:bCs/>
                <w:sz w:val="21"/>
                <w:szCs w:val="21"/>
                <w:lang w:val="en-US" w:eastAsia="zh-CN"/>
              </w:rPr>
              <w:t>布袋除尘器收尘量回收后混入产品及副产品外售；废活性炭属于危险废物。建设单位应将废活性炭按照相关要求统一收集，依托厂区现有危废暂存间暂存，定期委托资质单位处置；废机油属于危险废物。废矿物油按照相关要求进行收集暂存，依托厂区现有废机油暂存间，暂存后同厂区其他装置产生的废机油定期委托云南东升茂泰科技环保有限公司处置；员工从公司现有员工中调配，不新增工作人员，因此项目建设后全厂不新增生活垃圾。</w:t>
            </w:r>
          </w:p>
          <w:p>
            <w:pPr>
              <w:adjustRightInd w:val="0"/>
              <w:snapToGrid w:val="0"/>
              <w:spacing w:line="360" w:lineRule="auto"/>
              <w:ind w:firstLine="422" w:firstLineChars="200"/>
              <w:rPr>
                <w:rFonts w:hint="eastAsia" w:eastAsia="宋体"/>
                <w:sz w:val="21"/>
                <w:szCs w:val="21"/>
                <w:lang w:eastAsia="zh-CN"/>
              </w:rPr>
            </w:pPr>
            <w:r>
              <w:rPr>
                <w:rFonts w:eastAsia="宋体"/>
                <w:b/>
                <w:sz w:val="21"/>
                <w:szCs w:val="21"/>
              </w:rPr>
              <w:t>地下水防治措施</w:t>
            </w:r>
            <w:r>
              <w:rPr>
                <w:rFonts w:hint="eastAsia" w:eastAsia="宋体"/>
                <w:b/>
                <w:sz w:val="21"/>
                <w:szCs w:val="21"/>
              </w:rPr>
              <w:t>：</w:t>
            </w:r>
            <w:r>
              <w:rPr>
                <w:rFonts w:hint="eastAsia" w:eastAsia="宋体"/>
                <w:b w:val="0"/>
                <w:bCs/>
                <w:sz w:val="21"/>
                <w:szCs w:val="21"/>
              </w:rPr>
              <w:t>采取清污分流、厂区分区防渗、对污废水进行渗漏检测及地下水污染监控。</w:t>
            </w:r>
          </w:p>
        </w:tc>
      </w:tr>
    </w:tbl>
    <w:p>
      <w:pPr>
        <w:keepNext w:val="0"/>
        <w:keepLines w:val="0"/>
        <w:pageBreakBefore w:val="0"/>
        <w:widowControl w:val="0"/>
        <w:kinsoku/>
        <w:wordWrap/>
        <w:overflowPunct/>
        <w:topLinePunct w:val="0"/>
        <w:autoSpaceDE/>
        <w:autoSpaceDN/>
        <w:bidi w:val="0"/>
        <w:adjustRightInd/>
        <w:snapToGrid/>
        <w:spacing w:line="0" w:lineRule="atLeast"/>
        <w:textAlignment w:val="auto"/>
        <w:sectPr>
          <w:pgSz w:w="11906" w:h="16838"/>
          <w:pgMar w:top="1440" w:right="1800" w:bottom="1440" w:left="1800" w:header="851" w:footer="992" w:gutter="0"/>
          <w:cols w:space="425" w:num="1"/>
          <w:docGrid w:type="lines" w:linePitch="312" w:charSpace="0"/>
        </w:sectPr>
      </w:pPr>
    </w:p>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jc w:val="center"/>
        <w:rPr>
          <w:b/>
          <w:sz w:val="24"/>
          <w:szCs w:val="24"/>
        </w:rPr>
      </w:pPr>
      <w:r>
        <w:rPr>
          <w:rFonts w:hint="eastAsia"/>
          <w:b/>
          <w:sz w:val="24"/>
          <w:szCs w:val="24"/>
        </w:rPr>
        <w:t>（社会</w:t>
      </w:r>
      <w:r>
        <w:rPr>
          <w:b/>
          <w:sz w:val="24"/>
          <w:szCs w:val="24"/>
        </w:rPr>
        <w:t>团体</w:t>
      </w:r>
      <w:r>
        <w:rPr>
          <w:rFonts w:hint="eastAsia"/>
          <w:b/>
          <w:sz w:val="24"/>
          <w:szCs w:val="24"/>
        </w:rPr>
        <w:t>）</w:t>
      </w: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20</w:t>
      </w:r>
      <w:r>
        <w:rPr>
          <w:rFonts w:hint="eastAsia"/>
          <w:b/>
          <w:sz w:val="24"/>
          <w:szCs w:val="24"/>
          <w:u w:val="single"/>
        </w:rPr>
        <w:t>22</w:t>
      </w:r>
      <w:r>
        <w:rPr>
          <w:b/>
          <w:sz w:val="24"/>
          <w:szCs w:val="24"/>
          <w:u w:val="single"/>
        </w:rPr>
        <w:t>年   月   日</w:t>
      </w:r>
    </w:p>
    <w:tbl>
      <w:tblPr>
        <w:tblStyle w:val="4"/>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1771" w:type="dxa"/>
            <w:vAlign w:val="center"/>
          </w:tcPr>
          <w:p>
            <w:pPr>
              <w:adjustRightInd w:val="0"/>
              <w:snapToGrid w:val="0"/>
              <w:rPr>
                <w:rFonts w:eastAsia="宋体"/>
                <w:sz w:val="21"/>
                <w:szCs w:val="21"/>
              </w:rPr>
            </w:pPr>
            <w:r>
              <w:rPr>
                <w:rFonts w:eastAsia="宋体"/>
                <w:bCs/>
                <w:sz w:val="21"/>
                <w:szCs w:val="21"/>
              </w:rPr>
              <w:t>项目名称</w:t>
            </w:r>
          </w:p>
        </w:tc>
        <w:tc>
          <w:tcPr>
            <w:tcW w:w="7289" w:type="dxa"/>
            <w:gridSpan w:val="2"/>
            <w:vAlign w:val="center"/>
          </w:tcPr>
          <w:p>
            <w:pPr>
              <w:adjustRightInd w:val="0"/>
              <w:snapToGrid w:val="0"/>
              <w:jc w:val="center"/>
              <w:rPr>
                <w:rFonts w:eastAsia="宋体"/>
                <w:sz w:val="21"/>
                <w:szCs w:val="21"/>
              </w:rPr>
            </w:pPr>
            <w:r>
              <w:rPr>
                <w:rFonts w:hint="eastAsia" w:eastAsia="宋体"/>
                <w:sz w:val="21"/>
                <w:szCs w:val="21"/>
              </w:rPr>
              <w:t>云南天安化工有限公司10万吨/年电池级磷酸二氢铵项目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9060" w:type="dxa"/>
            <w:gridSpan w:val="3"/>
            <w:vAlign w:val="center"/>
          </w:tcPr>
          <w:p>
            <w:pPr>
              <w:adjustRightInd w:val="0"/>
              <w:snapToGrid w:val="0"/>
              <w:jc w:val="left"/>
              <w:rPr>
                <w:rFonts w:eastAsia="黑体"/>
                <w:sz w:val="21"/>
                <w:szCs w:val="21"/>
              </w:rPr>
            </w:pPr>
            <w:r>
              <w:rPr>
                <w:rFonts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86" w:hRule="atLeast"/>
        </w:trPr>
        <w:tc>
          <w:tcPr>
            <w:tcW w:w="1771" w:type="dxa"/>
            <w:vAlign w:val="center"/>
          </w:tcPr>
          <w:p>
            <w:pPr>
              <w:adjustRightInd w:val="0"/>
              <w:snapToGrid w:val="0"/>
              <w:rPr>
                <w:rFonts w:eastAsia="宋体"/>
                <w:sz w:val="21"/>
                <w:szCs w:val="21"/>
              </w:rPr>
            </w:pPr>
            <w:r>
              <w:rPr>
                <w:rFonts w:eastAsia="宋体"/>
                <w:b/>
                <w:bCs/>
                <w:sz w:val="21"/>
                <w:szCs w:val="21"/>
              </w:rPr>
              <w:t>与本项目环境影响和环境保护措施有关的建议和意见</w:t>
            </w:r>
            <w:r>
              <w:rPr>
                <w:rFonts w:eastAsia="宋体"/>
                <w:sz w:val="21"/>
                <w:szCs w:val="21"/>
              </w:rPr>
              <w:t>（</w:t>
            </w:r>
            <w:r>
              <w:rPr>
                <w:rFonts w:eastAsia="宋体"/>
                <w:b/>
                <w:bCs/>
                <w:sz w:val="21"/>
                <w:szCs w:val="21"/>
              </w:rPr>
              <w:t>注：</w:t>
            </w:r>
            <w:r>
              <w:rPr>
                <w:rFonts w:eastAsia="宋体"/>
                <w:sz w:val="21"/>
                <w:szCs w:val="21"/>
              </w:rPr>
              <w:t>根据《环境影响评价公众参与办法》规定，涉及</w:t>
            </w:r>
            <w:r>
              <w:rPr>
                <w:rFonts w:eastAsia="宋体"/>
                <w:b/>
                <w:bCs/>
                <w:sz w:val="21"/>
                <w:szCs w:val="21"/>
              </w:rPr>
              <w:t>征地拆迁、财产、就业</w:t>
            </w:r>
            <w:r>
              <w:rPr>
                <w:rFonts w:eastAsia="宋体"/>
                <w:sz w:val="21"/>
                <w:szCs w:val="21"/>
              </w:rPr>
              <w:t>等与项目环评无关的意见或者诉求不属于项目环评公参内容）</w:t>
            </w:r>
          </w:p>
        </w:tc>
        <w:tc>
          <w:tcPr>
            <w:tcW w:w="7289" w:type="dxa"/>
            <w:gridSpan w:val="2"/>
          </w:tcPr>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r>
              <w:rPr>
                <w:rFonts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5" w:hRule="atLeast"/>
        </w:trPr>
        <w:tc>
          <w:tcPr>
            <w:tcW w:w="9060" w:type="dxa"/>
            <w:gridSpan w:val="3"/>
            <w:vAlign w:val="center"/>
          </w:tcPr>
          <w:p>
            <w:pPr>
              <w:adjustRightInd w:val="0"/>
              <w:snapToGrid w:val="0"/>
              <w:rPr>
                <w:rFonts w:eastAsia="黑体"/>
                <w:sz w:val="21"/>
                <w:szCs w:val="21"/>
              </w:rPr>
            </w:pPr>
            <w:r>
              <w:rPr>
                <w:rFonts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9060" w:type="dxa"/>
            <w:gridSpan w:val="3"/>
            <w:vAlign w:val="center"/>
          </w:tcPr>
          <w:p>
            <w:pPr>
              <w:adjustRightInd w:val="0"/>
              <w:snapToGrid w:val="0"/>
              <w:jc w:val="left"/>
              <w:rPr>
                <w:rFonts w:eastAsia="宋体"/>
                <w:sz w:val="21"/>
                <w:szCs w:val="21"/>
              </w:rPr>
            </w:pPr>
            <w:r>
              <w:rPr>
                <w:rFonts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4226" w:type="dxa"/>
            <w:gridSpan w:val="2"/>
            <w:vAlign w:val="center"/>
          </w:tcPr>
          <w:p>
            <w:pPr>
              <w:adjustRightInd w:val="0"/>
              <w:snapToGrid w:val="0"/>
              <w:jc w:val="center"/>
              <w:rPr>
                <w:rFonts w:eastAsia="宋体"/>
                <w:b/>
                <w:bCs/>
                <w:sz w:val="21"/>
                <w:szCs w:val="21"/>
              </w:rPr>
            </w:pPr>
            <w:r>
              <w:rPr>
                <w:rFonts w:eastAsia="宋体"/>
                <w:b/>
                <w:bCs/>
                <w:sz w:val="21"/>
                <w:szCs w:val="21"/>
              </w:rPr>
              <w:t>单位名称（盖章）</w:t>
            </w:r>
          </w:p>
        </w:tc>
        <w:tc>
          <w:tcPr>
            <w:tcW w:w="4834" w:type="dxa"/>
          </w:tcPr>
          <w:p>
            <w:pPr>
              <w:adjustRightInd w:val="0"/>
              <w:snapToGrid w:val="0"/>
              <w:rPr>
                <w:rFonts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3" w:hRule="atLeast"/>
        </w:trPr>
        <w:tc>
          <w:tcPr>
            <w:tcW w:w="4226" w:type="dxa"/>
            <w:gridSpan w:val="2"/>
            <w:vAlign w:val="center"/>
          </w:tcPr>
          <w:p>
            <w:pPr>
              <w:adjustRightInd w:val="0"/>
              <w:snapToGrid w:val="0"/>
              <w:jc w:val="center"/>
              <w:rPr>
                <w:rFonts w:eastAsia="宋体"/>
                <w:b/>
                <w:bCs/>
                <w:sz w:val="21"/>
                <w:szCs w:val="21"/>
              </w:rPr>
            </w:pPr>
            <w:r>
              <w:rPr>
                <w:rFonts w:eastAsia="宋体"/>
                <w:b/>
                <w:bCs/>
                <w:sz w:val="21"/>
                <w:szCs w:val="21"/>
              </w:rPr>
              <w:t>工商注册号或统一社会信用代码</w:t>
            </w:r>
          </w:p>
        </w:tc>
        <w:tc>
          <w:tcPr>
            <w:tcW w:w="4834" w:type="dxa"/>
          </w:tcPr>
          <w:p>
            <w:pPr>
              <w:adjustRightInd w:val="0"/>
              <w:snapToGrid w:val="0"/>
              <w:rPr>
                <w:rFonts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4226" w:type="dxa"/>
            <w:gridSpan w:val="2"/>
            <w:vAlign w:val="center"/>
          </w:tcPr>
          <w:p>
            <w:pPr>
              <w:adjustRightInd w:val="0"/>
              <w:snapToGrid w:val="0"/>
              <w:jc w:val="center"/>
              <w:rPr>
                <w:rFonts w:eastAsia="宋体"/>
                <w:b/>
                <w:bCs/>
                <w:sz w:val="21"/>
                <w:szCs w:val="21"/>
              </w:rPr>
            </w:pPr>
            <w:r>
              <w:rPr>
                <w:rFonts w:eastAsia="宋体"/>
                <w:b/>
                <w:bCs/>
                <w:sz w:val="21"/>
                <w:szCs w:val="21"/>
              </w:rPr>
              <w:t>有效联系方式</w:t>
            </w:r>
          </w:p>
          <w:p>
            <w:pPr>
              <w:adjustRightInd w:val="0"/>
              <w:snapToGrid w:val="0"/>
              <w:jc w:val="center"/>
              <w:rPr>
                <w:rFonts w:eastAsia="宋体"/>
                <w:b/>
                <w:bCs/>
                <w:sz w:val="21"/>
                <w:szCs w:val="21"/>
              </w:rPr>
            </w:pPr>
            <w:r>
              <w:rPr>
                <w:rFonts w:eastAsia="宋体"/>
                <w:sz w:val="21"/>
                <w:szCs w:val="21"/>
              </w:rPr>
              <w:t>（电话号码或邮箱）</w:t>
            </w:r>
          </w:p>
        </w:tc>
        <w:tc>
          <w:tcPr>
            <w:tcW w:w="4834" w:type="dxa"/>
          </w:tcPr>
          <w:p>
            <w:pPr>
              <w:adjustRightInd w:val="0"/>
              <w:snapToGrid w:val="0"/>
              <w:rPr>
                <w:rFonts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4226" w:type="dxa"/>
            <w:gridSpan w:val="2"/>
            <w:vAlign w:val="center"/>
          </w:tcPr>
          <w:p>
            <w:pPr>
              <w:adjustRightInd w:val="0"/>
              <w:snapToGrid w:val="0"/>
              <w:jc w:val="center"/>
              <w:rPr>
                <w:rFonts w:eastAsia="宋体"/>
                <w:b/>
                <w:bCs/>
                <w:sz w:val="21"/>
                <w:szCs w:val="21"/>
              </w:rPr>
            </w:pPr>
            <w:r>
              <w:rPr>
                <w:rFonts w:eastAsia="宋体"/>
                <w:b/>
                <w:bCs/>
                <w:sz w:val="21"/>
                <w:szCs w:val="21"/>
              </w:rPr>
              <w:t>地    址</w:t>
            </w:r>
          </w:p>
        </w:tc>
        <w:tc>
          <w:tcPr>
            <w:tcW w:w="4834" w:type="dxa"/>
            <w:vAlign w:val="center"/>
          </w:tcPr>
          <w:p>
            <w:pPr>
              <w:adjustRightInd w:val="0"/>
              <w:snapToGrid w:val="0"/>
              <w:rPr>
                <w:rFonts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887" w:hRule="atLeast"/>
        </w:trPr>
        <w:tc>
          <w:tcPr>
            <w:tcW w:w="9060" w:type="dxa"/>
            <w:gridSpan w:val="3"/>
            <w:vAlign w:val="center"/>
          </w:tcPr>
          <w:p>
            <w:pPr>
              <w:tabs>
                <w:tab w:val="left" w:pos="2535"/>
              </w:tabs>
              <w:adjustRightInd w:val="0"/>
              <w:snapToGrid w:val="0"/>
              <w:spacing w:before="249" w:beforeLines="80"/>
              <w:rPr>
                <w:rFonts w:eastAsia="宋体"/>
                <w:bCs/>
                <w:sz w:val="21"/>
                <w:szCs w:val="21"/>
              </w:rPr>
            </w:pPr>
            <w:r>
              <w:rPr>
                <w:rFonts w:eastAsia="宋体"/>
                <w:bCs/>
                <w:sz w:val="21"/>
                <w:szCs w:val="21"/>
              </w:rPr>
              <w:t>注：法人或其他组织信息原则上可以公开，若涉及不能公开的信息请在此栏中注明法律依据和不能公开的具体信息。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1" w:hRule="atLeast"/>
        </w:trPr>
        <w:tc>
          <w:tcPr>
            <w:tcW w:w="9060" w:type="dxa"/>
            <w:gridSpan w:val="3"/>
            <w:tcBorders>
              <w:top w:val="single" w:color="auto" w:sz="4" w:space="0"/>
              <w:left w:val="single" w:color="auto" w:sz="8" w:space="0"/>
              <w:bottom w:val="single" w:color="auto" w:sz="4" w:space="0"/>
              <w:right w:val="single" w:color="auto" w:sz="8" w:space="0"/>
            </w:tcBorders>
          </w:tcPr>
          <w:p>
            <w:pPr>
              <w:tabs>
                <w:tab w:val="left" w:pos="2535"/>
              </w:tabs>
              <w:adjustRightInd w:val="0"/>
              <w:snapToGrid w:val="0"/>
              <w:rPr>
                <w:rFonts w:eastAsia="宋体"/>
                <w:b/>
                <w:bCs/>
                <w:sz w:val="21"/>
                <w:szCs w:val="21"/>
              </w:rPr>
            </w:pPr>
            <w:r>
              <w:rPr>
                <w:rFonts w:eastAsia="宋体"/>
                <w:b/>
                <w:bCs/>
                <w:sz w:val="21"/>
                <w:szCs w:val="21"/>
              </w:rPr>
              <w:t>三、本页为项目信息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1" w:hRule="atLeast"/>
        </w:trPr>
        <w:tc>
          <w:tcPr>
            <w:tcW w:w="9060" w:type="dxa"/>
            <w:gridSpan w:val="3"/>
            <w:tcBorders>
              <w:top w:val="single" w:color="auto" w:sz="4" w:space="0"/>
              <w:left w:val="single" w:color="auto" w:sz="8" w:space="0"/>
              <w:bottom w:val="single" w:color="auto" w:sz="4" w:space="0"/>
              <w:right w:val="single" w:color="auto" w:sz="8"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eastAsia="宋体"/>
                <w:b/>
                <w:bCs/>
                <w:sz w:val="21"/>
                <w:szCs w:val="21"/>
              </w:rPr>
            </w:pPr>
            <w:r>
              <w:rPr>
                <w:rFonts w:eastAsia="宋体"/>
                <w:b/>
                <w:bCs/>
                <w:sz w:val="21"/>
                <w:szCs w:val="21"/>
              </w:rPr>
              <w:t>（一）项目基本信息</w:t>
            </w:r>
          </w:p>
          <w:p>
            <w:pPr>
              <w:adjustRightInd w:val="0"/>
              <w:snapToGrid w:val="0"/>
              <w:spacing w:line="360" w:lineRule="auto"/>
              <w:ind w:firstLine="420" w:firstLineChars="200"/>
              <w:rPr>
                <w:rFonts w:hint="eastAsia" w:eastAsia="宋体"/>
                <w:sz w:val="21"/>
                <w:szCs w:val="21"/>
              </w:rPr>
            </w:pPr>
            <w:r>
              <w:rPr>
                <w:rFonts w:hint="eastAsia" w:eastAsia="宋体"/>
                <w:sz w:val="21"/>
                <w:szCs w:val="21"/>
              </w:rPr>
              <w:t>云南天安化工有限公司厂区位于昆明市西南方向47公里处的草铺工业园区内，中心地理坐标为东经：102°21′43.18″，北纬：24°56′36.45″，距安宁市区直线距离12公里，距昆明市西郊碧鸡关直线距离25公里。厂区占地约52.9公顷。公司生产厂区包括生产装置区及配套罐区和公辅设施等。</w:t>
            </w:r>
          </w:p>
          <w:p>
            <w:pPr>
              <w:adjustRightInd w:val="0"/>
              <w:snapToGrid w:val="0"/>
              <w:spacing w:line="360" w:lineRule="auto"/>
              <w:ind w:firstLine="420" w:firstLineChars="200"/>
              <w:rPr>
                <w:rFonts w:hint="default" w:eastAsia="宋体"/>
                <w:sz w:val="21"/>
                <w:szCs w:val="21"/>
                <w:lang w:val="en-US" w:eastAsia="zh-CN"/>
              </w:rPr>
            </w:pPr>
            <w:r>
              <w:rPr>
                <w:rFonts w:hint="eastAsia" w:eastAsia="宋体"/>
                <w:sz w:val="21"/>
                <w:szCs w:val="21"/>
              </w:rPr>
              <w:t>云南天安化工有限公司</w:t>
            </w:r>
            <w:r>
              <w:rPr>
                <w:rFonts w:hint="eastAsia" w:eastAsia="宋体"/>
                <w:sz w:val="21"/>
                <w:szCs w:val="21"/>
                <w:lang w:val="en-US" w:eastAsia="zh-CN"/>
              </w:rPr>
              <w:t>投资6621.34万元在云南天安化工有限公司厂区现有水溶性磷肥装置区域内建设“云南天安化工有限公司10万吨/年电池级磷酸二氢铵项目”。</w:t>
            </w:r>
          </w:p>
          <w:p>
            <w:pPr>
              <w:adjustRightInd w:val="0"/>
              <w:snapToGrid w:val="0"/>
              <w:spacing w:line="360" w:lineRule="auto"/>
              <w:ind w:firstLine="420" w:firstLineChars="200"/>
              <w:rPr>
                <w:rFonts w:eastAsia="宋体"/>
                <w:bCs/>
                <w:color w:val="FF0000"/>
                <w:sz w:val="21"/>
                <w:szCs w:val="21"/>
              </w:rPr>
            </w:pPr>
            <w:r>
              <w:rPr>
                <w:rFonts w:hint="eastAsia" w:eastAsia="宋体"/>
                <w:sz w:val="21"/>
                <w:szCs w:val="21"/>
                <w:lang w:val="en-US" w:eastAsia="zh-CN"/>
              </w:rPr>
              <w:t>项目主要建设生产装置区、成品储运区和辅助生产装置区，办公生活区依托原有工程。占地面积378m</w:t>
            </w:r>
            <w:r>
              <w:rPr>
                <w:rFonts w:hint="eastAsia" w:eastAsia="宋体"/>
                <w:sz w:val="21"/>
                <w:szCs w:val="21"/>
                <w:vertAlign w:val="superscript"/>
                <w:lang w:val="en-US" w:eastAsia="zh-CN"/>
              </w:rPr>
              <w:t>2</w:t>
            </w:r>
            <w:r>
              <w:rPr>
                <w:rFonts w:hint="eastAsia" w:eastAsia="宋体"/>
                <w:sz w:val="21"/>
                <w:szCs w:val="21"/>
                <w:lang w:val="en-US" w:eastAsia="zh-CN"/>
              </w:rPr>
              <w:t>，建筑面积1512m</w:t>
            </w:r>
            <w:r>
              <w:rPr>
                <w:rFonts w:hint="eastAsia" w:eastAsia="宋体"/>
                <w:sz w:val="21"/>
                <w:szCs w:val="21"/>
                <w:vertAlign w:val="superscript"/>
                <w:lang w:val="en-US" w:eastAsia="zh-CN"/>
              </w:rPr>
              <w:t>2</w:t>
            </w:r>
            <w:r>
              <w:rPr>
                <w:rFonts w:hint="eastAsia" w:eastAsia="宋体"/>
                <w:sz w:val="21"/>
                <w:szCs w:val="21"/>
                <w:lang w:val="en-US" w:eastAsia="zh-CN"/>
              </w:rPr>
              <w:t>，此次技改为在现有“10万吨/年设施农业用水溶性磷酸一铵技改项目”装置上进行，主要设施设备和装置依托现有，对部分建构筑物拆除后重建，并新增部分设备。</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1" w:hRule="atLeast"/>
        </w:trPr>
        <w:tc>
          <w:tcPr>
            <w:tcW w:w="9060" w:type="dxa"/>
            <w:gridSpan w:val="3"/>
            <w:tcBorders>
              <w:top w:val="single" w:color="auto" w:sz="4" w:space="0"/>
              <w:left w:val="single" w:color="auto" w:sz="8" w:space="0"/>
              <w:bottom w:val="single" w:color="auto" w:sz="8" w:space="0"/>
              <w:right w:val="single" w:color="auto" w:sz="8" w:space="0"/>
            </w:tcBorders>
            <w:vAlign w:val="center"/>
          </w:tcPr>
          <w:p>
            <w:pPr>
              <w:adjustRightInd w:val="0"/>
              <w:snapToGrid w:val="0"/>
              <w:spacing w:line="360" w:lineRule="auto"/>
              <w:rPr>
                <w:rFonts w:eastAsia="宋体"/>
                <w:b/>
                <w:sz w:val="21"/>
                <w:szCs w:val="21"/>
              </w:rPr>
            </w:pPr>
            <w:r>
              <w:rPr>
                <w:rFonts w:eastAsia="宋体"/>
                <w:b/>
                <w:sz w:val="21"/>
                <w:szCs w:val="21"/>
              </w:rPr>
              <w:t>（二）项目采取的环保措施及效果</w:t>
            </w:r>
          </w:p>
          <w:p>
            <w:pPr>
              <w:adjustRightInd w:val="0"/>
              <w:snapToGrid w:val="0"/>
              <w:spacing w:line="360" w:lineRule="auto"/>
              <w:ind w:firstLine="422" w:firstLineChars="200"/>
              <w:rPr>
                <w:rFonts w:hint="default" w:eastAsia="宋体"/>
                <w:b w:val="0"/>
                <w:bCs/>
                <w:sz w:val="21"/>
                <w:szCs w:val="21"/>
                <w:lang w:val="en-US" w:eastAsia="zh-CN"/>
              </w:rPr>
            </w:pPr>
            <w:r>
              <w:rPr>
                <w:rFonts w:eastAsia="宋体"/>
                <w:b/>
                <w:sz w:val="21"/>
                <w:szCs w:val="21"/>
              </w:rPr>
              <w:t>废水：</w:t>
            </w:r>
            <w:r>
              <w:rPr>
                <w:rFonts w:hint="eastAsia" w:eastAsia="宋体"/>
                <w:b w:val="0"/>
                <w:bCs/>
                <w:sz w:val="21"/>
                <w:szCs w:val="21"/>
                <w:lang w:val="en-US" w:eastAsia="zh-CN"/>
              </w:rPr>
              <w:t>浓缩冷却水池排水、地坪冲洗废水，进入装置区尾气系统系统补水；Ⅱ效冷凝水，经冷凝水收集池收集后，部分作为稀释浓缩液用水其余回用至配酸槽调酸；尾气洗涤系统排水进入洗涤排水槽收集内回用作为肥料级MAP装置调酸用水，不外排；供热蒸汽换热后产生的蒸汽冷凝水为清净水，返回进入厂区回用水系统回用；工作人员从公司现有员工中调配，不新增工作人员，不新增生活污水。</w:t>
            </w:r>
          </w:p>
          <w:p>
            <w:pPr>
              <w:adjustRightInd w:val="0"/>
              <w:snapToGrid w:val="0"/>
              <w:spacing w:line="360" w:lineRule="auto"/>
              <w:ind w:firstLine="422" w:firstLineChars="200"/>
              <w:rPr>
                <w:rFonts w:hint="default" w:eastAsia="宋体"/>
                <w:b w:val="0"/>
                <w:bCs/>
                <w:sz w:val="21"/>
                <w:szCs w:val="21"/>
                <w:lang w:val="en-US" w:eastAsia="zh-CN"/>
              </w:rPr>
            </w:pPr>
            <w:r>
              <w:rPr>
                <w:rFonts w:eastAsia="宋体"/>
                <w:b/>
                <w:sz w:val="21"/>
                <w:szCs w:val="21"/>
              </w:rPr>
              <w:t>废气：</w:t>
            </w:r>
            <w:r>
              <w:rPr>
                <w:rFonts w:hint="eastAsia" w:eastAsia="宋体"/>
                <w:b w:val="0"/>
                <w:bCs/>
                <w:sz w:val="21"/>
                <w:szCs w:val="21"/>
              </w:rPr>
              <w:t>喷雾干燥塔尾气</w:t>
            </w:r>
            <w:r>
              <w:rPr>
                <w:rFonts w:hint="eastAsia" w:eastAsia="宋体"/>
                <w:b w:val="0"/>
                <w:bCs/>
                <w:sz w:val="21"/>
                <w:szCs w:val="21"/>
                <w:lang w:val="en-US" w:eastAsia="zh-CN"/>
              </w:rPr>
              <w:t>经布袋除尘器、尾气洗涤系统和末端尾气洗涤塔处理后</w:t>
            </w:r>
            <w:r>
              <w:rPr>
                <w:rFonts w:hint="eastAsia" w:eastAsia="宋体"/>
                <w:b w:val="0"/>
                <w:bCs/>
                <w:sz w:val="21"/>
                <w:szCs w:val="21"/>
              </w:rPr>
              <w:t>由排气筒DA012达标排放</w:t>
            </w:r>
            <w:r>
              <w:rPr>
                <w:rFonts w:hint="eastAsia" w:eastAsia="宋体"/>
                <w:b w:val="0"/>
                <w:bCs/>
                <w:sz w:val="21"/>
                <w:szCs w:val="21"/>
                <w:lang w:eastAsia="zh-CN"/>
              </w:rPr>
              <w:t>；流化床干燥尾气</w:t>
            </w:r>
            <w:r>
              <w:rPr>
                <w:rFonts w:hint="eastAsia" w:eastAsia="宋体"/>
                <w:b w:val="0"/>
                <w:bCs/>
                <w:sz w:val="21"/>
                <w:szCs w:val="21"/>
                <w:lang w:val="en-US" w:eastAsia="zh-CN"/>
              </w:rPr>
              <w:t>经</w:t>
            </w:r>
            <w:r>
              <w:rPr>
                <w:rFonts w:hint="eastAsia" w:eastAsia="宋体"/>
                <w:b w:val="0"/>
                <w:bCs/>
                <w:sz w:val="21"/>
                <w:szCs w:val="21"/>
                <w:lang w:eastAsia="zh-CN"/>
              </w:rPr>
              <w:t>布袋除尘器除尘后</w:t>
            </w:r>
            <w:r>
              <w:rPr>
                <w:rFonts w:hint="eastAsia" w:eastAsia="宋体"/>
                <w:b w:val="0"/>
                <w:bCs/>
                <w:sz w:val="21"/>
                <w:szCs w:val="21"/>
                <w:lang w:val="en-US" w:eastAsia="zh-CN"/>
              </w:rPr>
              <w:t>由</w:t>
            </w:r>
            <w:r>
              <w:rPr>
                <w:rFonts w:hint="eastAsia" w:eastAsia="宋体"/>
                <w:b w:val="0"/>
                <w:bCs/>
                <w:sz w:val="21"/>
                <w:szCs w:val="21"/>
                <w:lang w:eastAsia="zh-CN"/>
              </w:rPr>
              <w:t>排气筒DA012达标排放；包装尾气</w:t>
            </w:r>
            <w:r>
              <w:rPr>
                <w:rFonts w:hint="eastAsia" w:eastAsia="宋体"/>
                <w:b w:val="0"/>
                <w:bCs/>
                <w:sz w:val="21"/>
                <w:szCs w:val="21"/>
                <w:lang w:val="en-US" w:eastAsia="zh-CN"/>
              </w:rPr>
              <w:t>经布袋除尘器、尾气洗涤系统和末端尾气洗涤塔处理后</w:t>
            </w:r>
            <w:r>
              <w:rPr>
                <w:rFonts w:hint="eastAsia" w:eastAsia="宋体"/>
                <w:b w:val="0"/>
                <w:bCs/>
                <w:sz w:val="21"/>
                <w:szCs w:val="21"/>
              </w:rPr>
              <w:t>由排气筒DA012达标排放</w:t>
            </w:r>
            <w:r>
              <w:rPr>
                <w:rFonts w:hint="eastAsia" w:eastAsia="宋体"/>
                <w:b w:val="0"/>
                <w:bCs/>
                <w:sz w:val="21"/>
                <w:szCs w:val="21"/>
                <w:lang w:val="en-US" w:eastAsia="zh-CN"/>
              </w:rPr>
              <w:t>。</w:t>
            </w:r>
          </w:p>
          <w:p>
            <w:pPr>
              <w:adjustRightInd w:val="0"/>
              <w:snapToGrid w:val="0"/>
              <w:spacing w:line="360" w:lineRule="auto"/>
              <w:ind w:firstLine="422" w:firstLineChars="200"/>
              <w:rPr>
                <w:rFonts w:eastAsia="宋体"/>
                <w:b w:val="0"/>
                <w:bCs/>
                <w:sz w:val="21"/>
                <w:szCs w:val="21"/>
              </w:rPr>
            </w:pPr>
            <w:r>
              <w:rPr>
                <w:rFonts w:eastAsia="宋体"/>
                <w:b/>
                <w:sz w:val="21"/>
                <w:szCs w:val="21"/>
              </w:rPr>
              <w:t>噪声：</w:t>
            </w:r>
            <w:r>
              <w:rPr>
                <w:rFonts w:eastAsia="宋体"/>
                <w:b w:val="0"/>
                <w:bCs/>
                <w:sz w:val="21"/>
                <w:szCs w:val="21"/>
              </w:rPr>
              <w:t>项目噪声污染源主要有生产设备运行时产生的机械噪声和空气动力噪声。</w:t>
            </w:r>
            <w:r>
              <w:rPr>
                <w:rFonts w:hint="eastAsia" w:eastAsia="宋体"/>
                <w:b w:val="0"/>
                <w:bCs/>
                <w:sz w:val="21"/>
                <w:szCs w:val="21"/>
              </w:rPr>
              <w:t>经过建筑隔声后，场界噪声可达《工业企业厂界环境噪声排放标准》（GB12348-2008）3类</w:t>
            </w:r>
            <w:r>
              <w:rPr>
                <w:rFonts w:hint="eastAsia" w:eastAsia="宋体"/>
                <w:b w:val="0"/>
                <w:bCs/>
                <w:sz w:val="21"/>
                <w:szCs w:val="21"/>
                <w:lang w:val="en-US" w:eastAsia="zh-CN"/>
              </w:rPr>
              <w:t>及4a类</w:t>
            </w:r>
            <w:r>
              <w:rPr>
                <w:rFonts w:hint="eastAsia" w:eastAsia="宋体"/>
                <w:b w:val="0"/>
                <w:bCs/>
                <w:sz w:val="21"/>
                <w:szCs w:val="21"/>
              </w:rPr>
              <w:t>标准。</w:t>
            </w:r>
          </w:p>
          <w:p>
            <w:pPr>
              <w:adjustRightInd w:val="0"/>
              <w:snapToGrid w:val="0"/>
              <w:spacing w:line="360" w:lineRule="auto"/>
              <w:ind w:firstLine="422" w:firstLineChars="200"/>
              <w:rPr>
                <w:rFonts w:hint="eastAsia" w:eastAsia="宋体"/>
                <w:b w:val="0"/>
                <w:bCs/>
                <w:sz w:val="21"/>
                <w:szCs w:val="21"/>
              </w:rPr>
            </w:pPr>
            <w:r>
              <w:rPr>
                <w:rFonts w:eastAsia="宋体"/>
                <w:b/>
                <w:sz w:val="21"/>
                <w:szCs w:val="21"/>
              </w:rPr>
              <w:t>固废：</w:t>
            </w:r>
            <w:r>
              <w:rPr>
                <w:rFonts w:hint="eastAsia" w:eastAsia="宋体"/>
                <w:b w:val="0"/>
                <w:bCs/>
                <w:sz w:val="21"/>
                <w:szCs w:val="21"/>
                <w:lang w:val="en-US" w:eastAsia="zh-CN"/>
              </w:rPr>
              <w:t>布袋除尘器收尘量回收后混入产品及副产品外售；废活性炭属于危险废物。建设单位应将废活性炭按照相关要求统一收集，依托厂区现有危废暂存间暂存，定期委托资质单位处置；废机油属于危险废物。废矿物油按照相关要求进行收集暂存，依托厂区现有废机油暂存间，暂存后同厂区其他装置产生的废机油定期委托云南东升茂泰科技环保有限公司处置；员工从公司现有员工中调配，不新增工作人员，因此项目建设后全厂不新增生活垃圾。</w:t>
            </w:r>
            <w:bookmarkStart w:id="0" w:name="_GoBack"/>
            <w:bookmarkEnd w:id="0"/>
          </w:p>
          <w:p>
            <w:pPr>
              <w:keepNext w:val="0"/>
              <w:keepLines w:val="0"/>
              <w:pageBreakBefore w:val="0"/>
              <w:widowControl w:val="0"/>
              <w:kinsoku/>
              <w:wordWrap/>
              <w:overflowPunct/>
              <w:topLinePunct w:val="0"/>
              <w:autoSpaceDE/>
              <w:autoSpaceDN/>
              <w:bidi w:val="0"/>
              <w:adjustRightInd w:val="0"/>
              <w:snapToGrid w:val="0"/>
              <w:spacing w:line="360" w:lineRule="auto"/>
              <w:ind w:firstLine="422" w:firstLineChars="200"/>
              <w:textAlignment w:val="auto"/>
              <w:rPr>
                <w:rFonts w:eastAsia="宋体"/>
                <w:bCs/>
                <w:color w:val="FF0000"/>
                <w:sz w:val="21"/>
                <w:szCs w:val="21"/>
              </w:rPr>
            </w:pPr>
            <w:r>
              <w:rPr>
                <w:rFonts w:eastAsia="宋体"/>
                <w:b/>
                <w:sz w:val="21"/>
                <w:szCs w:val="21"/>
              </w:rPr>
              <w:t>地下水防治措施</w:t>
            </w:r>
            <w:r>
              <w:rPr>
                <w:rFonts w:hint="eastAsia" w:eastAsia="宋体"/>
                <w:b/>
                <w:sz w:val="21"/>
                <w:szCs w:val="21"/>
              </w:rPr>
              <w:t>：</w:t>
            </w:r>
            <w:r>
              <w:rPr>
                <w:rFonts w:hint="eastAsia" w:eastAsia="宋体"/>
                <w:b w:val="0"/>
                <w:bCs/>
                <w:sz w:val="21"/>
                <w:szCs w:val="21"/>
              </w:rPr>
              <w:t>采取清污分流、厂区分区防渗、对污废水进行渗漏检测及地下水污染监控。</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_GBK">
    <w:panose1 w:val="02000000000000000000"/>
    <w:charset w:val="86"/>
    <w:family w:val="script"/>
    <w:pitch w:val="default"/>
    <w:sig w:usb0="A00002BF" w:usb1="38CF7CFA" w:usb2="00082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TVmNTVlMmNiZTI3NjRjOTcyMTVkYWJiNzZhMzIifQ=="/>
  </w:docVars>
  <w:rsids>
    <w:rsidRoot w:val="58BD450E"/>
    <w:rsid w:val="008C57AE"/>
    <w:rsid w:val="05C37EDE"/>
    <w:rsid w:val="11BD12AB"/>
    <w:rsid w:val="3A7726A3"/>
    <w:rsid w:val="3D823F40"/>
    <w:rsid w:val="3FBE1045"/>
    <w:rsid w:val="43B048B6"/>
    <w:rsid w:val="4A287986"/>
    <w:rsid w:val="4BD35474"/>
    <w:rsid w:val="563E2421"/>
    <w:rsid w:val="58543908"/>
    <w:rsid w:val="58BD450E"/>
    <w:rsid w:val="76556B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customStyle="1" w:styleId="2">
    <w:name w:val="文本正文"/>
    <w:basedOn w:val="1"/>
    <w:qFormat/>
    <w:uiPriority w:val="39"/>
    <w:pPr>
      <w:autoSpaceDE w:val="0"/>
      <w:autoSpaceDN w:val="0"/>
      <w:adjustRightInd w:val="0"/>
      <w:spacing w:line="360" w:lineRule="auto"/>
      <w:ind w:firstLine="510"/>
      <w:textAlignment w:val="baseline"/>
    </w:pPr>
    <w:rPr>
      <w:rFonts w:ascii="宋体" w:hAnsi="宋体"/>
      <w:snapToGrid w:val="0"/>
      <w:color w:val="000000"/>
      <w:spacing w:val="4"/>
      <w:kern w:val="18"/>
      <w:sz w:val="24"/>
      <w:szCs w:val="24"/>
    </w:rPr>
  </w:style>
  <w:style w:type="paragraph" w:styleId="3">
    <w:name w:val="Plain Text"/>
    <w:basedOn w:val="1"/>
    <w:next w:val="1"/>
    <w:qFormat/>
    <w:uiPriority w:val="0"/>
    <w:rPr>
      <w:rFonts w:ascii="宋体" w:hAnsi="Courier New" w:cs="Courier New"/>
      <w:szCs w:val="21"/>
    </w:rPr>
  </w:style>
  <w:style w:type="paragraph" w:customStyle="1" w:styleId="6">
    <w:name w:val="报告正文"/>
    <w:basedOn w:val="1"/>
    <w:qFormat/>
    <w:uiPriority w:val="0"/>
    <w:pPr>
      <w:snapToGrid w:val="0"/>
      <w:spacing w:line="360" w:lineRule="auto"/>
      <w:ind w:left="0" w:leftChars="0" w:firstLine="420" w:firstLineChars="200"/>
    </w:pPr>
    <w:rPr>
      <w:rFonts w:hint="eastAsia" w:ascii="Times New Roman" w:hAnsi="Times New Roman" w:eastAsia="宋体" w:cs="Times New Roman"/>
      <w:sz w:val="24"/>
    </w:rPr>
  </w:style>
  <w:style w:type="character" w:customStyle="1" w:styleId="7">
    <w:name w:val="报告正文 Char"/>
    <w:link w:val="8"/>
    <w:qFormat/>
    <w:uiPriority w:val="0"/>
    <w:rPr>
      <w:rFonts w:hint="eastAsia" w:ascii="Times New Roman" w:hAnsi="Times New Roman" w:eastAsia="宋体" w:cs="Times New Roman"/>
      <w:sz w:val="24"/>
    </w:rPr>
  </w:style>
  <w:style w:type="paragraph" w:customStyle="1" w:styleId="8">
    <w:name w:val="l报告正文"/>
    <w:basedOn w:val="1"/>
    <w:link w:val="7"/>
    <w:qFormat/>
    <w:uiPriority w:val="0"/>
    <w:pPr>
      <w:snapToGrid w:val="0"/>
      <w:spacing w:line="360" w:lineRule="auto"/>
      <w:ind w:left="0" w:leftChars="0" w:firstLine="420" w:firstLineChars="200"/>
    </w:pPr>
    <w:rPr>
      <w:rFonts w:hint="eastAsia" w:ascii="Times New Roman" w:hAnsi="Times New Roman" w:eastAsia="宋体" w:cs="Times New Roman"/>
      <w:sz w:val="24"/>
    </w:rPr>
  </w:style>
  <w:style w:type="paragraph" w:customStyle="1" w:styleId="9">
    <w:name w:val="表格、图名称"/>
    <w:basedOn w:val="6"/>
    <w:next w:val="6"/>
    <w:qFormat/>
    <w:uiPriority w:val="0"/>
    <w:pPr>
      <w:spacing w:line="240" w:lineRule="auto"/>
      <w:ind w:firstLine="0" w:firstLineChars="0"/>
      <w:jc w:val="center"/>
    </w:pPr>
    <w:rPr>
      <w:b/>
      <w:color w:val="auto"/>
    </w:rPr>
  </w:style>
  <w:style w:type="character" w:customStyle="1" w:styleId="10">
    <w:name w:val="表格、图名称 Char"/>
    <w:link w:val="11"/>
    <w:qFormat/>
    <w:uiPriority w:val="0"/>
    <w:rPr>
      <w:rFonts w:eastAsia="宋体"/>
      <w:b/>
      <w:color w:val="auto"/>
    </w:rPr>
  </w:style>
  <w:style w:type="paragraph" w:customStyle="1" w:styleId="11">
    <w:name w:val="l表格、图名称"/>
    <w:basedOn w:val="8"/>
    <w:next w:val="8"/>
    <w:link w:val="10"/>
    <w:qFormat/>
    <w:uiPriority w:val="0"/>
    <w:pPr>
      <w:spacing w:line="240" w:lineRule="auto"/>
      <w:ind w:firstLine="0" w:firstLineChars="0"/>
      <w:jc w:val="center"/>
    </w:pPr>
    <w:rPr>
      <w:b/>
      <w:color w:val="auto"/>
    </w:rPr>
  </w:style>
  <w:style w:type="paragraph" w:customStyle="1" w:styleId="12">
    <w:name w:val="表格文字"/>
    <w:basedOn w:val="1"/>
    <w:next w:val="6"/>
    <w:qFormat/>
    <w:uiPriority w:val="0"/>
    <w:pPr>
      <w:snapToGrid w:val="0"/>
      <w:ind w:firstLine="0" w:firstLineChars="0"/>
      <w:jc w:val="center"/>
    </w:pPr>
    <w:rPr>
      <w:rFonts w:hint="eastAsia" w:ascii="Times New Roman" w:hAnsi="Times New Roman" w:eastAsia="宋体" w:cs="Times New Roman"/>
      <w:color w:val="auto"/>
    </w:rPr>
  </w:style>
  <w:style w:type="character" w:customStyle="1" w:styleId="13">
    <w:name w:val="表格文字 Char"/>
    <w:link w:val="14"/>
    <w:qFormat/>
    <w:uiPriority w:val="0"/>
    <w:rPr>
      <w:rFonts w:hint="eastAsia" w:ascii="Times New Roman" w:hAnsi="Times New Roman" w:eastAsia="宋体" w:cs="Times New Roman"/>
      <w:color w:val="auto"/>
    </w:rPr>
  </w:style>
  <w:style w:type="paragraph" w:customStyle="1" w:styleId="14">
    <w:name w:val="l表格文字"/>
    <w:basedOn w:val="1"/>
    <w:next w:val="8"/>
    <w:link w:val="13"/>
    <w:qFormat/>
    <w:uiPriority w:val="0"/>
    <w:pPr>
      <w:snapToGrid w:val="0"/>
      <w:ind w:firstLine="0" w:firstLineChars="0"/>
      <w:jc w:val="center"/>
    </w:pPr>
    <w:rPr>
      <w:rFonts w:hint="eastAsia" w:ascii="Times New Roman" w:hAnsi="Times New Roman" w:eastAsia="宋体" w:cs="Times New Roman"/>
      <w:color w:val="auto"/>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2525</Words>
  <Characters>2656</Characters>
  <Lines>0</Lines>
  <Paragraphs>0</Paragraphs>
  <TotalTime>2</TotalTime>
  <ScaleCrop>false</ScaleCrop>
  <LinksUpToDate>false</LinksUpToDate>
  <CharactersWithSpaces>2679</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2022-05-20T08:28:00Z</dcterms:created>
  <dc:creator>亦久亦旧</dc:creator>
  <cp:lastModifiedBy>WPS_1636017891</cp:lastModifiedBy>
  <dcterms:modified xsi:type="dcterms:W3CDTF">2022-12-12T08:26:39Z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65ADE6A9E8C24ACCBF936C788B2AAE26</vt:lpwstr>
  </property>
</Properties>
</file>