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jc w:val="center"/>
        <w:rPr>
          <w:b/>
          <w:sz w:val="24"/>
          <w:szCs w:val="24"/>
        </w:rPr>
      </w:pPr>
      <w:r>
        <w:rPr>
          <w:rFonts w:hint="eastAsia"/>
          <w:b/>
          <w:sz w:val="24"/>
          <w:szCs w:val="24"/>
        </w:rPr>
        <w:t>(社会</w:t>
      </w:r>
      <w:r>
        <w:rPr>
          <w:b/>
          <w:sz w:val="24"/>
          <w:szCs w:val="24"/>
        </w:rPr>
        <w:t>公民</w:t>
      </w:r>
      <w:r>
        <w:rPr>
          <w:rFonts w:hint="eastAsia"/>
          <w:b/>
          <w:sz w:val="24"/>
          <w:szCs w:val="24"/>
        </w:rPr>
        <w:t>)</w:t>
      </w: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 xml:space="preserve">    </w:t>
      </w:r>
      <w:r>
        <w:rPr>
          <w:b/>
          <w:sz w:val="24"/>
          <w:szCs w:val="24"/>
          <w:u w:val="single"/>
        </w:rPr>
        <w:t>年   月   日</w:t>
      </w:r>
    </w:p>
    <w:tbl>
      <w:tblPr>
        <w:tblStyle w:val="5"/>
        <w:tblW w:w="9177"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9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771" w:type="dxa"/>
            <w:vAlign w:val="center"/>
          </w:tcPr>
          <w:p>
            <w:pPr>
              <w:adjustRightInd w:val="0"/>
              <w:snapToGrid w:val="0"/>
              <w:rPr>
                <w:rFonts w:eastAsia="宋体"/>
                <w:sz w:val="21"/>
                <w:szCs w:val="21"/>
              </w:rPr>
            </w:pPr>
            <w:r>
              <w:rPr>
                <w:rFonts w:eastAsia="宋体"/>
                <w:bCs/>
                <w:sz w:val="21"/>
                <w:szCs w:val="21"/>
              </w:rPr>
              <w:t>项目名称</w:t>
            </w:r>
          </w:p>
        </w:tc>
        <w:tc>
          <w:tcPr>
            <w:tcW w:w="7406" w:type="dxa"/>
            <w:gridSpan w:val="2"/>
            <w:vAlign w:val="center"/>
          </w:tcPr>
          <w:p>
            <w:pPr>
              <w:adjustRightInd w:val="0"/>
              <w:snapToGrid w:val="0"/>
              <w:jc w:val="center"/>
              <w:rPr>
                <w:rFonts w:eastAsia="宋体"/>
                <w:sz w:val="21"/>
                <w:szCs w:val="21"/>
              </w:rPr>
            </w:pPr>
            <w:r>
              <w:rPr>
                <w:rFonts w:hint="eastAsia" w:eastAsia="宋体"/>
                <w:sz w:val="21"/>
                <w:szCs w:val="21"/>
              </w:rPr>
              <w:t>云南三环中化化肥有限公司100kta电池用磷酸二氢铵项目（重新报批）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9177"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1" w:hRule="atLeast"/>
        </w:trPr>
        <w:tc>
          <w:tcPr>
            <w:tcW w:w="1771" w:type="dxa"/>
            <w:vAlign w:val="center"/>
          </w:tcPr>
          <w:p>
            <w:pPr>
              <w:adjustRightInd w:val="0"/>
              <w:snapToGrid w:val="0"/>
              <w:rPr>
                <w:rFonts w:eastAsia="宋体"/>
                <w:sz w:val="21"/>
                <w:szCs w:val="21"/>
              </w:rPr>
            </w:pPr>
            <w:r>
              <w:rPr>
                <w:rFonts w:eastAsia="宋体"/>
                <w:b w:val="0"/>
                <w:bCs w:val="0"/>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406"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pStyle w:val="2"/>
              <w:rPr>
                <w:rFonts w:eastAsia="宋体"/>
                <w:sz w:val="21"/>
                <w:szCs w:val="21"/>
              </w:rPr>
            </w:pPr>
          </w:p>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9177"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9177"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951"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177" w:type="dxa"/>
            <w:gridSpan w:val="3"/>
            <w:vAlign w:val="center"/>
          </w:tcPr>
          <w:p>
            <w:pPr>
              <w:adjustRightInd w:val="0"/>
              <w:snapToGrid w:val="0"/>
              <w:rPr>
                <w:rFonts w:eastAsia="宋体"/>
                <w:sz w:val="21"/>
                <w:szCs w:val="21"/>
              </w:rPr>
            </w:pPr>
            <w:r>
              <w:rPr>
                <w:rFonts w:eastAsia="宋体"/>
                <w:b/>
                <w:bCs/>
                <w:sz w:val="21"/>
                <w:szCs w:val="21"/>
              </w:rPr>
              <w:t>三、本页为项目信息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9177"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eastAsia="宋体"/>
                <w:b/>
                <w:bCs/>
                <w:sz w:val="21"/>
                <w:szCs w:val="21"/>
              </w:rPr>
            </w:pPr>
            <w:r>
              <w:rPr>
                <w:rFonts w:eastAsia="宋体"/>
                <w:b/>
                <w:bCs/>
                <w:sz w:val="21"/>
                <w:szCs w:val="21"/>
              </w:rPr>
              <w:t>（一）项目基本信息</w:t>
            </w:r>
          </w:p>
          <w:p>
            <w:pPr>
              <w:adjustRightInd w:val="0"/>
              <w:snapToGrid w:val="0"/>
              <w:spacing w:line="360" w:lineRule="auto"/>
              <w:ind w:firstLine="420" w:firstLineChars="200"/>
              <w:rPr>
                <w:rFonts w:hint="eastAsia" w:eastAsia="宋体"/>
                <w:sz w:val="21"/>
                <w:szCs w:val="21"/>
              </w:rPr>
            </w:pPr>
            <w:r>
              <w:rPr>
                <w:rFonts w:hint="eastAsia" w:eastAsia="宋体"/>
                <w:sz w:val="21"/>
                <w:szCs w:val="21"/>
              </w:rPr>
              <w:t>云南三环中化化肥有限公司位于昆明市西山区海口镇，是一家以生产、销售高浓度磷肥为主的大型磷肥企业。公司成立于2005年4月5日，由中国磷化工行业最有影响力企业中的云南云天化股份有限公司、中化化肥有限公司、云天化集团有限责任公司共同出资组建。</w:t>
            </w:r>
          </w:p>
          <w:p>
            <w:pPr>
              <w:adjustRightInd w:val="0"/>
              <w:snapToGrid w:val="0"/>
              <w:spacing w:line="360" w:lineRule="auto"/>
              <w:ind w:firstLine="420" w:firstLineChars="200"/>
              <w:rPr>
                <w:rFonts w:hint="eastAsia" w:eastAsia="宋体"/>
                <w:sz w:val="21"/>
                <w:szCs w:val="21"/>
              </w:rPr>
            </w:pPr>
            <w:r>
              <w:rPr>
                <w:rFonts w:hint="eastAsia" w:eastAsia="宋体"/>
                <w:sz w:val="21"/>
                <w:szCs w:val="21"/>
              </w:rPr>
              <w:t>建设单位投资33779.46万元在云南三环中化化肥有限公司厂区原氟硅酸钠生产装置区域内建设“云南三环中化化肥有限公司100kta电池用磷酸二氢铵项目（重新报批）”。</w:t>
            </w:r>
          </w:p>
          <w:p>
            <w:pPr>
              <w:adjustRightInd w:val="0"/>
              <w:snapToGrid w:val="0"/>
              <w:spacing w:line="360" w:lineRule="auto"/>
              <w:ind w:firstLine="420" w:firstLineChars="200"/>
              <w:rPr>
                <w:rFonts w:eastAsia="宋体"/>
                <w:sz w:val="21"/>
                <w:szCs w:val="21"/>
              </w:rPr>
            </w:pPr>
            <w:r>
              <w:rPr>
                <w:rFonts w:hint="eastAsia" w:eastAsia="宋体"/>
                <w:sz w:val="21"/>
                <w:szCs w:val="21"/>
              </w:rPr>
              <w:t>本项目不新征用地，占地面积27427.36m</w:t>
            </w:r>
            <w:r>
              <w:rPr>
                <w:rFonts w:hint="eastAsia" w:eastAsia="宋体"/>
                <w:sz w:val="21"/>
                <w:szCs w:val="21"/>
                <w:vertAlign w:val="superscript"/>
              </w:rPr>
              <w:t>2</w:t>
            </w:r>
            <w:r>
              <w:rPr>
                <w:rFonts w:hint="eastAsia" w:eastAsia="宋体"/>
                <w:sz w:val="21"/>
                <w:szCs w:val="21"/>
              </w:rPr>
              <w:t>，建筑面积21428.97m</w:t>
            </w:r>
            <w:r>
              <w:rPr>
                <w:rFonts w:hint="eastAsia" w:eastAsia="宋体"/>
                <w:sz w:val="21"/>
                <w:szCs w:val="21"/>
                <w:vertAlign w:val="superscript"/>
              </w:rPr>
              <w:t>2</w:t>
            </w:r>
            <w:r>
              <w:rPr>
                <w:rFonts w:hint="eastAsia" w:eastAsia="宋体"/>
                <w:sz w:val="21"/>
                <w:szCs w:val="21"/>
              </w:rPr>
              <w:t>。项目采用溶剂萃取法湿法磷酸精制技术，经过磷酸预处理、磷酸精制、磷酸浓缩等过程获取工业级精制磷酸，并以精制磷酸、液氨为原料，以两步中和法，通过浓缩、结晶、过滤、干燥获得电池用磷酸二氢铵产品。最终产品为电池用磷酸二氢铵100kt/年</w:t>
            </w:r>
            <w:r>
              <w:rPr>
                <w:rFonts w:hint="eastAsia" w:eastAsia="宋体"/>
                <w:sz w:val="21"/>
                <w:szCs w:val="21"/>
                <w:lang w:eastAsia="zh-CN"/>
              </w:rPr>
              <w:t>、</w:t>
            </w:r>
            <w:r>
              <w:rPr>
                <w:rFonts w:hint="eastAsia" w:eastAsia="宋体"/>
                <w:sz w:val="21"/>
                <w:szCs w:val="21"/>
              </w:rPr>
              <w:t>萃余磷酸118.87kt/年。项目主要建设磷酸预处理工段、磷酸精制工段、磷酸二氢铵生产厂房、干燥包装区、储运工程及其配套辅助、公用工程</w:t>
            </w:r>
            <w:r>
              <w:rPr>
                <w:rFonts w:hint="eastAsia" w:eastAsia="宋体"/>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32" w:hRule="atLeast"/>
        </w:trPr>
        <w:tc>
          <w:tcPr>
            <w:tcW w:w="9177" w:type="dxa"/>
            <w:gridSpan w:val="3"/>
            <w:vAlign w:val="center"/>
          </w:tcPr>
          <w:p>
            <w:pPr>
              <w:adjustRightInd w:val="0"/>
              <w:snapToGrid w:val="0"/>
              <w:spacing w:line="360" w:lineRule="auto"/>
              <w:rPr>
                <w:rFonts w:eastAsia="宋体"/>
                <w:b/>
                <w:sz w:val="21"/>
                <w:szCs w:val="21"/>
              </w:rPr>
            </w:pPr>
            <w:r>
              <w:rPr>
                <w:rFonts w:eastAsia="宋体"/>
                <w:b/>
                <w:sz w:val="21"/>
                <w:szCs w:val="21"/>
              </w:rPr>
              <w:t>（二）项目采取的环保措施及效果</w:t>
            </w:r>
          </w:p>
          <w:p>
            <w:pPr>
              <w:adjustRightInd w:val="0"/>
              <w:snapToGrid w:val="0"/>
              <w:spacing w:line="360" w:lineRule="auto"/>
              <w:ind w:firstLine="422" w:firstLineChars="200"/>
              <w:rPr>
                <w:rFonts w:hint="eastAsia" w:eastAsia="宋体"/>
                <w:b w:val="0"/>
                <w:bCs/>
                <w:sz w:val="21"/>
                <w:szCs w:val="21"/>
                <w:lang w:eastAsia="zh-CN"/>
              </w:rPr>
            </w:pPr>
            <w:r>
              <w:rPr>
                <w:rFonts w:eastAsia="宋体"/>
                <w:b/>
                <w:sz w:val="21"/>
                <w:szCs w:val="21"/>
              </w:rPr>
              <w:t>废水：</w:t>
            </w:r>
            <w:r>
              <w:rPr>
                <w:rFonts w:hint="eastAsia" w:eastAsia="宋体"/>
                <w:b w:val="0"/>
                <w:bCs/>
                <w:sz w:val="21"/>
                <w:szCs w:val="21"/>
                <w:lang w:val="en-US" w:eastAsia="zh-CN"/>
              </w:rPr>
              <w:t>项目磷酸浓缩工段及翠余酸浓缩工段的酸性废水在循环水站处理后回用，回用不完的部分排入公司污水封闭循环系统循环使用，正常情况下无污水外排。</w:t>
            </w:r>
            <w:r>
              <w:rPr>
                <w:rFonts w:hint="eastAsia" w:eastAsia="宋体"/>
                <w:b w:val="0"/>
                <w:bCs/>
                <w:sz w:val="21"/>
                <w:szCs w:val="21"/>
              </w:rPr>
              <w:t>事故废水和场地的初期雨水经收集后排入公司已建的污水处理站，经处理后用于公司的循环水站补水</w:t>
            </w:r>
            <w:r>
              <w:rPr>
                <w:rFonts w:hint="eastAsia" w:eastAsia="宋体"/>
                <w:b w:val="0"/>
                <w:bCs/>
                <w:sz w:val="21"/>
                <w:szCs w:val="21"/>
                <w:lang w:eastAsia="zh-CN"/>
              </w:rPr>
              <w:t>。</w:t>
            </w:r>
          </w:p>
          <w:p>
            <w:pPr>
              <w:adjustRightInd w:val="0"/>
              <w:snapToGrid w:val="0"/>
              <w:spacing w:line="360" w:lineRule="auto"/>
              <w:ind w:firstLine="422" w:firstLineChars="200"/>
              <w:rPr>
                <w:rFonts w:hint="eastAsia" w:eastAsia="宋体"/>
                <w:b w:val="0"/>
                <w:bCs/>
                <w:sz w:val="21"/>
                <w:szCs w:val="21"/>
                <w:lang w:eastAsia="zh-CN"/>
              </w:rPr>
            </w:pPr>
            <w:r>
              <w:rPr>
                <w:rFonts w:eastAsia="宋体"/>
                <w:b/>
                <w:sz w:val="21"/>
                <w:szCs w:val="21"/>
              </w:rPr>
              <w:t>废气：</w:t>
            </w:r>
            <w:r>
              <w:rPr>
                <w:rFonts w:hint="eastAsia" w:eastAsia="宋体"/>
                <w:b w:val="0"/>
                <w:bCs/>
                <w:sz w:val="21"/>
                <w:szCs w:val="21"/>
              </w:rPr>
              <w:t>预处理尾气首先进入一个高效文丘里洗涤器。经过洗涤除氟后再进入第一洗涤塔，在洗涤塔中被循环洗涤液进行洗涤；由第一洗涤塔出来的气体由反应尾气风机抽出，和来自过滤机的尾气一起送入第二洗涤塔，在第二洗涤塔内经过两级洗涤后经45m高</w:t>
            </w:r>
            <w:r>
              <w:rPr>
                <w:rFonts w:hint="eastAsia" w:eastAsia="宋体"/>
                <w:b w:val="0"/>
                <w:bCs/>
                <w:sz w:val="21"/>
                <w:szCs w:val="21"/>
                <w:lang w:val="en-US" w:eastAsia="zh-CN"/>
              </w:rPr>
              <w:t>的排气筒达标</w:t>
            </w:r>
            <w:r>
              <w:rPr>
                <w:rFonts w:hint="eastAsia" w:eastAsia="宋体"/>
                <w:b w:val="0"/>
                <w:bCs/>
                <w:sz w:val="21"/>
                <w:szCs w:val="21"/>
              </w:rPr>
              <w:t>排放</w:t>
            </w:r>
            <w:r>
              <w:rPr>
                <w:rFonts w:hint="eastAsia" w:eastAsia="宋体"/>
                <w:b w:val="0"/>
                <w:bCs/>
                <w:sz w:val="21"/>
                <w:szCs w:val="21"/>
                <w:lang w:eastAsia="zh-CN"/>
              </w:rPr>
              <w:t>；</w:t>
            </w:r>
            <w:r>
              <w:rPr>
                <w:rFonts w:hint="eastAsia" w:eastAsia="宋体"/>
                <w:b w:val="0"/>
                <w:bCs/>
                <w:sz w:val="21"/>
                <w:szCs w:val="21"/>
              </w:rPr>
              <w:t>净化工段产生的含氟废气经洗涤塔洗涤后，由31m高的排气筒DA008达标排放</w:t>
            </w:r>
            <w:r>
              <w:rPr>
                <w:rFonts w:hint="eastAsia" w:eastAsia="宋体"/>
                <w:b w:val="0"/>
                <w:bCs/>
                <w:sz w:val="21"/>
                <w:szCs w:val="21"/>
                <w:lang w:eastAsia="zh-CN"/>
              </w:rPr>
              <w:t>；浓缩脱重脱色工序尾气采用两级NaOH溶液喷淋洗涤吸收硫化氢尾气处理后由31.5m的排气筒DA009</w:t>
            </w:r>
            <w:r>
              <w:rPr>
                <w:rFonts w:hint="eastAsia" w:eastAsia="宋体"/>
                <w:b w:val="0"/>
                <w:bCs/>
                <w:sz w:val="21"/>
                <w:szCs w:val="21"/>
                <w:lang w:val="en-US" w:eastAsia="zh-CN"/>
              </w:rPr>
              <w:t>达标</w:t>
            </w:r>
            <w:r>
              <w:rPr>
                <w:rFonts w:hint="eastAsia" w:eastAsia="宋体"/>
                <w:b w:val="0"/>
                <w:bCs/>
                <w:sz w:val="21"/>
                <w:szCs w:val="21"/>
                <w:lang w:eastAsia="zh-CN"/>
              </w:rPr>
              <w:t>排放；中和反应工序尾气经水洗涤后经30.5m的排气筒DA007</w:t>
            </w:r>
            <w:r>
              <w:rPr>
                <w:rFonts w:hint="eastAsia" w:eastAsia="宋体"/>
                <w:b w:val="0"/>
                <w:bCs/>
                <w:sz w:val="21"/>
                <w:szCs w:val="21"/>
                <w:lang w:val="en-US" w:eastAsia="zh-CN"/>
              </w:rPr>
              <w:t>达标</w:t>
            </w:r>
            <w:r>
              <w:rPr>
                <w:rFonts w:hint="eastAsia" w:eastAsia="宋体"/>
                <w:b w:val="0"/>
                <w:bCs/>
                <w:sz w:val="21"/>
                <w:szCs w:val="21"/>
                <w:lang w:eastAsia="zh-CN"/>
              </w:rPr>
              <w:t>排放；干燥、筛分粉尘采用集气罩收集后，经布袋除尘器处理，由排气筒DA007</w:t>
            </w:r>
            <w:r>
              <w:rPr>
                <w:rFonts w:hint="eastAsia" w:eastAsia="宋体"/>
                <w:b w:val="0"/>
                <w:bCs/>
                <w:sz w:val="21"/>
                <w:szCs w:val="21"/>
                <w:lang w:val="en-US" w:eastAsia="zh-CN"/>
              </w:rPr>
              <w:t>达标</w:t>
            </w:r>
            <w:r>
              <w:rPr>
                <w:rFonts w:hint="eastAsia" w:eastAsia="宋体"/>
                <w:b w:val="0"/>
                <w:bCs/>
                <w:sz w:val="21"/>
                <w:szCs w:val="21"/>
                <w:lang w:eastAsia="zh-CN"/>
              </w:rPr>
              <w:t>排放；包装废气经集气罩收集后经布袋除尘器处理，尾气在车间内无组织排放。</w:t>
            </w:r>
          </w:p>
          <w:p>
            <w:pPr>
              <w:adjustRightInd w:val="0"/>
              <w:snapToGrid w:val="0"/>
              <w:spacing w:line="360" w:lineRule="auto"/>
              <w:ind w:firstLine="422" w:firstLineChars="200"/>
              <w:rPr>
                <w:rFonts w:eastAsia="宋体"/>
                <w:b w:val="0"/>
                <w:bCs/>
                <w:sz w:val="21"/>
                <w:szCs w:val="21"/>
              </w:rPr>
            </w:pPr>
            <w:r>
              <w:rPr>
                <w:rFonts w:eastAsia="宋体"/>
                <w:b/>
                <w:sz w:val="21"/>
                <w:szCs w:val="21"/>
              </w:rPr>
              <w:t>噪声：</w:t>
            </w:r>
            <w:r>
              <w:rPr>
                <w:rFonts w:eastAsia="宋体"/>
                <w:b w:val="0"/>
                <w:bCs/>
                <w:sz w:val="21"/>
                <w:szCs w:val="21"/>
              </w:rPr>
              <w:t>项目噪声污染源主要有生产设备运行时产生的机械噪声和空气动力噪声。</w:t>
            </w:r>
            <w:r>
              <w:rPr>
                <w:rFonts w:hint="eastAsia" w:eastAsia="宋体"/>
                <w:b w:val="0"/>
                <w:bCs/>
                <w:sz w:val="21"/>
                <w:szCs w:val="21"/>
              </w:rPr>
              <w:t>经过建筑隔声后，场界噪声可达《工业企业厂界环境噪声排放标准》（GB12348-2008）3类标准。</w:t>
            </w:r>
          </w:p>
          <w:p>
            <w:pPr>
              <w:adjustRightInd w:val="0"/>
              <w:snapToGrid w:val="0"/>
              <w:spacing w:line="360" w:lineRule="auto"/>
              <w:ind w:firstLine="422" w:firstLineChars="200"/>
              <w:rPr>
                <w:rFonts w:eastAsia="宋体"/>
                <w:b/>
                <w:sz w:val="21"/>
                <w:szCs w:val="21"/>
              </w:rPr>
            </w:pPr>
            <w:r>
              <w:rPr>
                <w:rFonts w:eastAsia="宋体"/>
                <w:b/>
                <w:sz w:val="21"/>
                <w:szCs w:val="21"/>
              </w:rPr>
              <w:t>固废：</w:t>
            </w:r>
          </w:p>
          <w:p>
            <w:pPr>
              <w:adjustRightInd w:val="0"/>
              <w:snapToGrid w:val="0"/>
              <w:spacing w:line="360" w:lineRule="auto"/>
              <w:ind w:firstLine="420" w:firstLineChars="200"/>
              <w:rPr>
                <w:rFonts w:hint="eastAsia" w:eastAsia="宋体"/>
                <w:b w:val="0"/>
                <w:bCs/>
                <w:sz w:val="21"/>
                <w:szCs w:val="21"/>
                <w:lang w:val="en-US" w:eastAsia="zh-CN"/>
              </w:rPr>
            </w:pPr>
            <w:r>
              <w:rPr>
                <w:rFonts w:hint="eastAsia" w:eastAsia="宋体"/>
                <w:b w:val="0"/>
                <w:bCs/>
                <w:sz w:val="21"/>
                <w:szCs w:val="21"/>
                <w:lang w:val="en-US" w:eastAsia="zh-CN"/>
              </w:rPr>
              <w:t>预处理产生渣酸：地下槽内澄清后返回原湿法磷酸装置萃取槽；脱重脱色过滤渣、中和反应板框压滤渣浆：与废碱液等混合后再浆后送至现湿法磷酸装置萃取槽对滤渣中的磷资源进行有效回收；除尘器收集粉尘、不合格晶体：去中和反应溶解槽回用；员工从公司现有员工中调配，不新增工作人员，因此项目建设后全厂不新增生活垃圾；废机油：依托厂区现有危废暂存间暂存，定期委托云南达济再生资源回收利用有限公司处置。</w:t>
            </w:r>
          </w:p>
          <w:p>
            <w:pPr>
              <w:adjustRightInd w:val="0"/>
              <w:snapToGrid w:val="0"/>
              <w:spacing w:line="360" w:lineRule="auto"/>
              <w:ind w:firstLine="422" w:firstLineChars="200"/>
              <w:rPr>
                <w:rFonts w:hint="eastAsia" w:eastAsia="宋体"/>
                <w:sz w:val="21"/>
                <w:szCs w:val="21"/>
                <w:lang w:eastAsia="zh-CN"/>
              </w:rPr>
            </w:pPr>
            <w:r>
              <w:rPr>
                <w:rFonts w:eastAsia="宋体"/>
                <w:b/>
                <w:sz w:val="21"/>
                <w:szCs w:val="21"/>
              </w:rPr>
              <w:t>地下水防治措施</w:t>
            </w:r>
            <w:r>
              <w:rPr>
                <w:rFonts w:hint="eastAsia" w:eastAsia="宋体"/>
                <w:b/>
                <w:sz w:val="21"/>
                <w:szCs w:val="21"/>
              </w:rPr>
              <w:t>：</w:t>
            </w:r>
            <w:r>
              <w:rPr>
                <w:rFonts w:hint="eastAsia" w:eastAsia="宋体"/>
                <w:b w:val="0"/>
                <w:bCs/>
                <w:sz w:val="21"/>
                <w:szCs w:val="21"/>
              </w:rPr>
              <w:t>采取清污分流、厂区分区防渗、对污废水进行渗漏检测及地下水污染监控。</w:t>
            </w:r>
          </w:p>
        </w:tc>
      </w:tr>
    </w:tbl>
    <w:p>
      <w:pPr>
        <w:keepNext w:val="0"/>
        <w:keepLines w:val="0"/>
        <w:pageBreakBefore w:val="0"/>
        <w:widowControl w:val="0"/>
        <w:kinsoku/>
        <w:wordWrap/>
        <w:overflowPunct/>
        <w:topLinePunct w:val="0"/>
        <w:autoSpaceDE/>
        <w:autoSpaceDN/>
        <w:bidi w:val="0"/>
        <w:adjustRightInd/>
        <w:snapToGrid/>
        <w:spacing w:line="0" w:lineRule="atLeast"/>
        <w:textAlignment w:val="auto"/>
        <w:sectPr>
          <w:pgSz w:w="11906" w:h="16838"/>
          <w:pgMar w:top="1440" w:right="1800" w:bottom="1440" w:left="1800" w:header="851" w:footer="992" w:gutter="0"/>
          <w:cols w:space="425" w:num="1"/>
          <w:docGrid w:type="lines" w:linePitch="312" w:charSpace="0"/>
        </w:sect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jc w:val="center"/>
        <w:rPr>
          <w:b/>
          <w:sz w:val="24"/>
          <w:szCs w:val="24"/>
        </w:rPr>
      </w:pPr>
      <w:r>
        <w:rPr>
          <w:rFonts w:hint="eastAsia"/>
          <w:b/>
          <w:sz w:val="24"/>
          <w:szCs w:val="24"/>
        </w:rPr>
        <w:t>（社会</w:t>
      </w:r>
      <w:r>
        <w:rPr>
          <w:b/>
          <w:sz w:val="24"/>
          <w:szCs w:val="24"/>
        </w:rPr>
        <w:t>团体</w:t>
      </w:r>
      <w:r>
        <w:rPr>
          <w:rFonts w:hint="eastAsia"/>
          <w:b/>
          <w:sz w:val="24"/>
          <w:szCs w:val="24"/>
        </w:rPr>
        <w:t>）</w:t>
      </w: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 xml:space="preserve">     </w:t>
      </w:r>
      <w:r>
        <w:rPr>
          <w:b/>
          <w:sz w:val="24"/>
          <w:szCs w:val="24"/>
          <w:u w:val="single"/>
        </w:rPr>
        <w:t>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771" w:type="dxa"/>
            <w:vAlign w:val="center"/>
          </w:tcPr>
          <w:p>
            <w:pPr>
              <w:adjustRightInd w:val="0"/>
              <w:snapToGrid w:val="0"/>
              <w:rPr>
                <w:rFonts w:eastAsia="宋体"/>
                <w:sz w:val="21"/>
                <w:szCs w:val="21"/>
              </w:rPr>
            </w:pPr>
            <w:r>
              <w:rPr>
                <w:rFonts w:eastAsia="宋体"/>
                <w:bCs/>
                <w:sz w:val="21"/>
                <w:szCs w:val="21"/>
              </w:rPr>
              <w:t>项目名称</w:t>
            </w:r>
          </w:p>
        </w:tc>
        <w:tc>
          <w:tcPr>
            <w:tcW w:w="7289" w:type="dxa"/>
            <w:gridSpan w:val="2"/>
            <w:vAlign w:val="center"/>
          </w:tcPr>
          <w:p>
            <w:pPr>
              <w:adjustRightInd w:val="0"/>
              <w:snapToGrid w:val="0"/>
              <w:jc w:val="center"/>
              <w:rPr>
                <w:rFonts w:eastAsia="宋体"/>
                <w:sz w:val="21"/>
                <w:szCs w:val="21"/>
              </w:rPr>
            </w:pPr>
            <w:r>
              <w:rPr>
                <w:rFonts w:hint="eastAsia" w:eastAsia="宋体"/>
                <w:sz w:val="21"/>
                <w:szCs w:val="21"/>
              </w:rPr>
              <w:t>云南三环中化化肥有限公司100kta电池用磷酸二氢铵项目（重新报批）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9060"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86" w:hRule="atLeast"/>
        </w:trPr>
        <w:tc>
          <w:tcPr>
            <w:tcW w:w="1771" w:type="dxa"/>
            <w:vAlign w:val="center"/>
          </w:tcPr>
          <w:p>
            <w:pPr>
              <w:adjustRightInd w:val="0"/>
              <w:snapToGrid w:val="0"/>
              <w:rPr>
                <w:rFonts w:eastAsia="宋体"/>
                <w:sz w:val="21"/>
                <w:szCs w:val="21"/>
              </w:rPr>
            </w:pPr>
            <w:r>
              <w:rPr>
                <w:rFonts w:eastAsia="宋体"/>
                <w:b w:val="0"/>
                <w:bCs w:val="0"/>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9060"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单位名称（盖章）</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87"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060" w:type="dxa"/>
            <w:gridSpan w:val="3"/>
            <w:tcBorders>
              <w:top w:val="single" w:color="auto" w:sz="4" w:space="0"/>
              <w:left w:val="single" w:color="auto" w:sz="8" w:space="0"/>
              <w:bottom w:val="single" w:color="auto" w:sz="4" w:space="0"/>
              <w:right w:val="single" w:color="auto" w:sz="8" w:space="0"/>
            </w:tcBorders>
          </w:tcPr>
          <w:p>
            <w:pPr>
              <w:tabs>
                <w:tab w:val="left" w:pos="2535"/>
              </w:tabs>
              <w:adjustRightInd w:val="0"/>
              <w:snapToGrid w:val="0"/>
              <w:rPr>
                <w:rFonts w:eastAsia="宋体"/>
                <w:b/>
                <w:bCs/>
                <w:sz w:val="21"/>
                <w:szCs w:val="21"/>
              </w:rPr>
            </w:pPr>
            <w:r>
              <w:rPr>
                <w:rFonts w:eastAsia="宋体"/>
                <w:b/>
                <w:bCs/>
                <w:sz w:val="21"/>
                <w:szCs w:val="21"/>
              </w:rPr>
              <w:t>三、本页为项目信息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eastAsia="宋体"/>
                <w:b/>
                <w:bCs/>
                <w:sz w:val="21"/>
                <w:szCs w:val="21"/>
              </w:rPr>
            </w:pPr>
            <w:r>
              <w:rPr>
                <w:rFonts w:eastAsia="宋体"/>
                <w:b/>
                <w:bCs/>
                <w:sz w:val="21"/>
                <w:szCs w:val="21"/>
              </w:rPr>
              <w:t>（一）项目基本信息</w:t>
            </w:r>
          </w:p>
          <w:p>
            <w:pPr>
              <w:adjustRightInd w:val="0"/>
              <w:snapToGrid w:val="0"/>
              <w:spacing w:line="360" w:lineRule="auto"/>
              <w:ind w:firstLine="420" w:firstLineChars="200"/>
              <w:rPr>
                <w:rFonts w:hint="eastAsia" w:eastAsia="宋体"/>
                <w:sz w:val="21"/>
                <w:szCs w:val="21"/>
              </w:rPr>
            </w:pPr>
            <w:r>
              <w:rPr>
                <w:rFonts w:hint="eastAsia" w:eastAsia="宋体"/>
                <w:sz w:val="21"/>
                <w:szCs w:val="21"/>
              </w:rPr>
              <w:t>云南三环中化化肥有限公司位于昆明市西山区海口镇，是一家以生产、销售高浓度磷肥为主的大型磷肥企业。公司成立于2005年4月5日，由中国磷化工行业最有影响力企业中的云南云天化股份有限公司、中化化肥有限公司、云天化集团有限责任公司共同出资组建。</w:t>
            </w:r>
          </w:p>
          <w:p>
            <w:pPr>
              <w:adjustRightInd w:val="0"/>
              <w:snapToGrid w:val="0"/>
              <w:spacing w:line="360" w:lineRule="auto"/>
              <w:ind w:firstLine="420" w:firstLineChars="200"/>
              <w:rPr>
                <w:rFonts w:hint="eastAsia" w:eastAsia="宋体"/>
                <w:sz w:val="21"/>
                <w:szCs w:val="21"/>
              </w:rPr>
            </w:pPr>
            <w:r>
              <w:rPr>
                <w:rFonts w:hint="eastAsia" w:eastAsia="宋体"/>
                <w:sz w:val="21"/>
                <w:szCs w:val="21"/>
              </w:rPr>
              <w:t>建设单位投资33779.46万元在云南三环中化化肥有限公司厂区原氟硅酸钠生产装置区域内建设“云南三环中化化肥有限公司100kta电池用磷酸二氢铵项目（重新报批）”。</w:t>
            </w:r>
          </w:p>
          <w:p>
            <w:pPr>
              <w:adjustRightInd w:val="0"/>
              <w:snapToGrid w:val="0"/>
              <w:spacing w:line="360" w:lineRule="auto"/>
              <w:ind w:firstLine="420" w:firstLineChars="200"/>
              <w:rPr>
                <w:rFonts w:eastAsia="宋体"/>
                <w:bCs/>
                <w:color w:val="FF0000"/>
                <w:sz w:val="21"/>
                <w:szCs w:val="21"/>
              </w:rPr>
            </w:pPr>
            <w:r>
              <w:rPr>
                <w:rFonts w:hint="eastAsia" w:eastAsia="宋体"/>
                <w:sz w:val="21"/>
                <w:szCs w:val="21"/>
              </w:rPr>
              <w:t>本项目不新征用地，占地面积27427.36m</w:t>
            </w:r>
            <w:r>
              <w:rPr>
                <w:rFonts w:hint="eastAsia" w:eastAsia="宋体"/>
                <w:sz w:val="21"/>
                <w:szCs w:val="21"/>
                <w:vertAlign w:val="superscript"/>
              </w:rPr>
              <w:t>2</w:t>
            </w:r>
            <w:r>
              <w:rPr>
                <w:rFonts w:hint="eastAsia" w:eastAsia="宋体"/>
                <w:sz w:val="21"/>
                <w:szCs w:val="21"/>
              </w:rPr>
              <w:t>，建筑面积21428.97m</w:t>
            </w:r>
            <w:r>
              <w:rPr>
                <w:rFonts w:hint="eastAsia" w:eastAsia="宋体"/>
                <w:sz w:val="21"/>
                <w:szCs w:val="21"/>
                <w:vertAlign w:val="superscript"/>
              </w:rPr>
              <w:t>2</w:t>
            </w:r>
            <w:r>
              <w:rPr>
                <w:rFonts w:hint="eastAsia" w:eastAsia="宋体"/>
                <w:sz w:val="21"/>
                <w:szCs w:val="21"/>
              </w:rPr>
              <w:t>。项目采用溶剂萃取法湿法磷酸精制技术，经过磷酸预处理、磷酸精制、磷酸浓缩等过程获取工业级精制磷酸，并以精制磷酸、液氨为原料，以两步中和法，通过浓缩、结晶、过滤、干燥获得电池用磷酸二氢铵产品。最终产品为电池用磷酸二氢铵100kt/年</w:t>
            </w:r>
            <w:r>
              <w:rPr>
                <w:rFonts w:hint="eastAsia" w:eastAsia="宋体"/>
                <w:sz w:val="21"/>
                <w:szCs w:val="21"/>
                <w:lang w:eastAsia="zh-CN"/>
              </w:rPr>
              <w:t>、</w:t>
            </w:r>
            <w:r>
              <w:rPr>
                <w:rFonts w:hint="eastAsia" w:eastAsia="宋体"/>
                <w:sz w:val="21"/>
                <w:szCs w:val="21"/>
              </w:rPr>
              <w:t>萃余磷酸118.87kt/年。项目主要建设磷酸预处理工段、磷酸精制工段、磷酸二氢铵生产厂房、干燥包装区、储运工程及其配套辅助、公用工程</w:t>
            </w:r>
            <w:r>
              <w:rPr>
                <w:rFonts w:hint="eastAsia" w:eastAsia="宋体"/>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060" w:type="dxa"/>
            <w:gridSpan w:val="3"/>
            <w:tcBorders>
              <w:top w:val="single" w:color="auto" w:sz="4" w:space="0"/>
              <w:left w:val="single" w:color="auto" w:sz="8" w:space="0"/>
              <w:bottom w:val="single" w:color="auto" w:sz="8" w:space="0"/>
              <w:right w:val="single" w:color="auto" w:sz="8" w:space="0"/>
            </w:tcBorders>
            <w:vAlign w:val="center"/>
          </w:tcPr>
          <w:p>
            <w:pPr>
              <w:adjustRightInd w:val="0"/>
              <w:snapToGrid w:val="0"/>
              <w:spacing w:line="360" w:lineRule="auto"/>
              <w:rPr>
                <w:rFonts w:eastAsia="宋体"/>
                <w:b/>
                <w:sz w:val="21"/>
                <w:szCs w:val="21"/>
              </w:rPr>
            </w:pPr>
            <w:r>
              <w:rPr>
                <w:rFonts w:eastAsia="宋体"/>
                <w:b/>
                <w:sz w:val="21"/>
                <w:szCs w:val="21"/>
              </w:rPr>
              <w:t>（二）项目采取的环保措施及效果</w:t>
            </w:r>
            <w:bookmarkStart w:id="0" w:name="_GoBack"/>
            <w:bookmarkEnd w:id="0"/>
          </w:p>
          <w:p>
            <w:pPr>
              <w:adjustRightInd w:val="0"/>
              <w:snapToGrid w:val="0"/>
              <w:spacing w:line="360" w:lineRule="auto"/>
              <w:ind w:firstLine="422" w:firstLineChars="200"/>
              <w:rPr>
                <w:rFonts w:hint="eastAsia" w:eastAsia="宋体"/>
                <w:b w:val="0"/>
                <w:bCs/>
                <w:sz w:val="21"/>
                <w:szCs w:val="21"/>
                <w:lang w:eastAsia="zh-CN"/>
              </w:rPr>
            </w:pPr>
            <w:r>
              <w:rPr>
                <w:rFonts w:eastAsia="宋体"/>
                <w:b/>
                <w:sz w:val="21"/>
                <w:szCs w:val="21"/>
              </w:rPr>
              <w:t>废水：</w:t>
            </w:r>
            <w:r>
              <w:rPr>
                <w:rFonts w:hint="eastAsia" w:eastAsia="宋体"/>
                <w:b w:val="0"/>
                <w:bCs/>
                <w:sz w:val="21"/>
                <w:szCs w:val="21"/>
                <w:lang w:val="en-US" w:eastAsia="zh-CN"/>
              </w:rPr>
              <w:t>项目磷酸浓缩工段及翠余酸浓缩工段的酸性废水在循环水站处理后回用，回用不完的部分排入公司污水封闭循环系统循环使用，正常情况下无污水外排。</w:t>
            </w:r>
            <w:r>
              <w:rPr>
                <w:rFonts w:hint="eastAsia" w:eastAsia="宋体"/>
                <w:b w:val="0"/>
                <w:bCs/>
                <w:sz w:val="21"/>
                <w:szCs w:val="21"/>
              </w:rPr>
              <w:t>事故废水和场地的初期雨水经收集后排入公司已建的污水处理站，经处理后用于公司的循环水站补水</w:t>
            </w:r>
            <w:r>
              <w:rPr>
                <w:rFonts w:hint="eastAsia" w:eastAsia="宋体"/>
                <w:b w:val="0"/>
                <w:bCs/>
                <w:sz w:val="21"/>
                <w:szCs w:val="21"/>
                <w:lang w:eastAsia="zh-CN"/>
              </w:rPr>
              <w:t>。</w:t>
            </w:r>
          </w:p>
          <w:p>
            <w:pPr>
              <w:adjustRightInd w:val="0"/>
              <w:snapToGrid w:val="0"/>
              <w:spacing w:line="360" w:lineRule="auto"/>
              <w:ind w:firstLine="422" w:firstLineChars="200"/>
              <w:rPr>
                <w:rFonts w:hint="eastAsia" w:eastAsia="宋体"/>
                <w:b w:val="0"/>
                <w:bCs/>
                <w:sz w:val="21"/>
                <w:szCs w:val="21"/>
                <w:lang w:eastAsia="zh-CN"/>
              </w:rPr>
            </w:pPr>
            <w:r>
              <w:rPr>
                <w:rFonts w:eastAsia="宋体"/>
                <w:b/>
                <w:sz w:val="21"/>
                <w:szCs w:val="21"/>
              </w:rPr>
              <w:t>废气：</w:t>
            </w:r>
            <w:r>
              <w:rPr>
                <w:rFonts w:hint="eastAsia" w:eastAsia="宋体"/>
                <w:b w:val="0"/>
                <w:bCs/>
                <w:sz w:val="21"/>
                <w:szCs w:val="21"/>
              </w:rPr>
              <w:t>预处理尾气首先进入一个高效文丘里洗涤器。经过洗涤除氟后再进入第一洗涤塔，在洗涤塔中被循环洗涤液进行洗涤；由第一洗涤塔出来的气体由反应尾气风机抽出，和来自过滤机的尾气一起送入第二洗涤塔，在第二洗涤塔内经过两级洗涤后经45m高</w:t>
            </w:r>
            <w:r>
              <w:rPr>
                <w:rFonts w:hint="eastAsia" w:eastAsia="宋体"/>
                <w:b w:val="0"/>
                <w:bCs/>
                <w:sz w:val="21"/>
                <w:szCs w:val="21"/>
                <w:lang w:val="en-US" w:eastAsia="zh-CN"/>
              </w:rPr>
              <w:t>的排气筒达标</w:t>
            </w:r>
            <w:r>
              <w:rPr>
                <w:rFonts w:hint="eastAsia" w:eastAsia="宋体"/>
                <w:b w:val="0"/>
                <w:bCs/>
                <w:sz w:val="21"/>
                <w:szCs w:val="21"/>
              </w:rPr>
              <w:t>排放</w:t>
            </w:r>
            <w:r>
              <w:rPr>
                <w:rFonts w:hint="eastAsia" w:eastAsia="宋体"/>
                <w:b w:val="0"/>
                <w:bCs/>
                <w:sz w:val="21"/>
                <w:szCs w:val="21"/>
                <w:lang w:eastAsia="zh-CN"/>
              </w:rPr>
              <w:t>；</w:t>
            </w:r>
            <w:r>
              <w:rPr>
                <w:rFonts w:hint="eastAsia" w:eastAsia="宋体"/>
                <w:b w:val="0"/>
                <w:bCs/>
                <w:sz w:val="21"/>
                <w:szCs w:val="21"/>
              </w:rPr>
              <w:t>净化工段产生的含氟废气经洗涤塔洗涤后，由31m高的排气筒DA008达标排放</w:t>
            </w:r>
            <w:r>
              <w:rPr>
                <w:rFonts w:hint="eastAsia" w:eastAsia="宋体"/>
                <w:b w:val="0"/>
                <w:bCs/>
                <w:sz w:val="21"/>
                <w:szCs w:val="21"/>
                <w:lang w:eastAsia="zh-CN"/>
              </w:rPr>
              <w:t>；浓缩脱重脱色工序尾气采用两级NaOH溶液喷淋洗涤吸收硫化氢尾气处理后由31.5m的排气筒DA009</w:t>
            </w:r>
            <w:r>
              <w:rPr>
                <w:rFonts w:hint="eastAsia" w:eastAsia="宋体"/>
                <w:b w:val="0"/>
                <w:bCs/>
                <w:sz w:val="21"/>
                <w:szCs w:val="21"/>
                <w:lang w:val="en-US" w:eastAsia="zh-CN"/>
              </w:rPr>
              <w:t>达标</w:t>
            </w:r>
            <w:r>
              <w:rPr>
                <w:rFonts w:hint="eastAsia" w:eastAsia="宋体"/>
                <w:b w:val="0"/>
                <w:bCs/>
                <w:sz w:val="21"/>
                <w:szCs w:val="21"/>
                <w:lang w:eastAsia="zh-CN"/>
              </w:rPr>
              <w:t>排放；中和反应工序尾气经水洗涤后经30.5m的排气筒DA007</w:t>
            </w:r>
            <w:r>
              <w:rPr>
                <w:rFonts w:hint="eastAsia" w:eastAsia="宋体"/>
                <w:b w:val="0"/>
                <w:bCs/>
                <w:sz w:val="21"/>
                <w:szCs w:val="21"/>
                <w:lang w:val="en-US" w:eastAsia="zh-CN"/>
              </w:rPr>
              <w:t>达标</w:t>
            </w:r>
            <w:r>
              <w:rPr>
                <w:rFonts w:hint="eastAsia" w:eastAsia="宋体"/>
                <w:b w:val="0"/>
                <w:bCs/>
                <w:sz w:val="21"/>
                <w:szCs w:val="21"/>
                <w:lang w:eastAsia="zh-CN"/>
              </w:rPr>
              <w:t>排放；干燥、筛分粉尘采用集气罩收集后，经布袋除尘器处理，由排气筒DA007</w:t>
            </w:r>
            <w:r>
              <w:rPr>
                <w:rFonts w:hint="eastAsia" w:eastAsia="宋体"/>
                <w:b w:val="0"/>
                <w:bCs/>
                <w:sz w:val="21"/>
                <w:szCs w:val="21"/>
                <w:lang w:val="en-US" w:eastAsia="zh-CN"/>
              </w:rPr>
              <w:t>达标</w:t>
            </w:r>
            <w:r>
              <w:rPr>
                <w:rFonts w:hint="eastAsia" w:eastAsia="宋体"/>
                <w:b w:val="0"/>
                <w:bCs/>
                <w:sz w:val="21"/>
                <w:szCs w:val="21"/>
                <w:lang w:eastAsia="zh-CN"/>
              </w:rPr>
              <w:t>排放；包装废气经集气罩收集后经布袋除尘器处理，尾气在车间内无组织排放。</w:t>
            </w:r>
          </w:p>
          <w:p>
            <w:pPr>
              <w:adjustRightInd w:val="0"/>
              <w:snapToGrid w:val="0"/>
              <w:spacing w:line="360" w:lineRule="auto"/>
              <w:ind w:firstLine="422" w:firstLineChars="200"/>
              <w:rPr>
                <w:rFonts w:eastAsia="宋体"/>
                <w:b w:val="0"/>
                <w:bCs/>
                <w:sz w:val="21"/>
                <w:szCs w:val="21"/>
              </w:rPr>
            </w:pPr>
            <w:r>
              <w:rPr>
                <w:rFonts w:eastAsia="宋体"/>
                <w:b/>
                <w:sz w:val="21"/>
                <w:szCs w:val="21"/>
              </w:rPr>
              <w:t>噪声：</w:t>
            </w:r>
            <w:r>
              <w:rPr>
                <w:rFonts w:eastAsia="宋体"/>
                <w:b w:val="0"/>
                <w:bCs/>
                <w:sz w:val="21"/>
                <w:szCs w:val="21"/>
              </w:rPr>
              <w:t>项目噪声污染源主要有生产设备运行时产生的机械噪声和空气动力噪声。</w:t>
            </w:r>
            <w:r>
              <w:rPr>
                <w:rFonts w:hint="eastAsia" w:eastAsia="宋体"/>
                <w:b w:val="0"/>
                <w:bCs/>
                <w:sz w:val="21"/>
                <w:szCs w:val="21"/>
              </w:rPr>
              <w:t>经过建筑隔声后，场界噪声可达《工业企业厂界环境噪声排放标准》（GB12348-2008）3类标准。</w:t>
            </w:r>
          </w:p>
          <w:p>
            <w:pPr>
              <w:adjustRightInd w:val="0"/>
              <w:snapToGrid w:val="0"/>
              <w:spacing w:line="360" w:lineRule="auto"/>
              <w:ind w:firstLine="422" w:firstLineChars="200"/>
              <w:rPr>
                <w:rFonts w:eastAsia="宋体"/>
                <w:b/>
                <w:sz w:val="21"/>
                <w:szCs w:val="21"/>
              </w:rPr>
            </w:pPr>
            <w:r>
              <w:rPr>
                <w:rFonts w:eastAsia="宋体"/>
                <w:b/>
                <w:sz w:val="21"/>
                <w:szCs w:val="21"/>
              </w:rPr>
              <w:t>固废：</w:t>
            </w:r>
          </w:p>
          <w:p>
            <w:pPr>
              <w:adjustRightInd w:val="0"/>
              <w:snapToGrid w:val="0"/>
              <w:spacing w:line="360" w:lineRule="auto"/>
              <w:ind w:firstLine="420" w:firstLineChars="200"/>
              <w:rPr>
                <w:rFonts w:hint="eastAsia" w:eastAsia="宋体"/>
                <w:b w:val="0"/>
                <w:bCs/>
                <w:sz w:val="21"/>
                <w:szCs w:val="21"/>
                <w:lang w:val="en-US" w:eastAsia="zh-CN"/>
              </w:rPr>
            </w:pPr>
            <w:r>
              <w:rPr>
                <w:rFonts w:hint="eastAsia" w:eastAsia="宋体"/>
                <w:b w:val="0"/>
                <w:bCs/>
                <w:sz w:val="21"/>
                <w:szCs w:val="21"/>
                <w:lang w:val="en-US" w:eastAsia="zh-CN"/>
              </w:rPr>
              <w:t>预处理产生渣酸：地下槽内澄清后返回原湿法磷酸装置萃取槽；脱重脱色过滤渣、中和反应板框压滤渣浆：与废碱液等混合后再浆后送至现湿法磷酸装置萃取槽对滤渣中的磷资源进行有效回收；除尘器收集粉尘、不合格晶体：去中和反应溶解槽回用；员工从公司现有员工中调配，不新增工作人员，因此项目建设后全厂不新增生活垃圾；废机油：依托厂区现有危废暂存间暂存，定期委托云南达济再生资源回收利用有限公司处置。</w:t>
            </w:r>
          </w:p>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eastAsia="宋体"/>
                <w:bCs/>
                <w:color w:val="FF0000"/>
                <w:sz w:val="21"/>
                <w:szCs w:val="21"/>
              </w:rPr>
            </w:pPr>
            <w:r>
              <w:rPr>
                <w:rFonts w:eastAsia="宋体"/>
                <w:b/>
                <w:sz w:val="21"/>
                <w:szCs w:val="21"/>
              </w:rPr>
              <w:t>地下水防治措施</w:t>
            </w:r>
            <w:r>
              <w:rPr>
                <w:rFonts w:hint="eastAsia" w:eastAsia="宋体"/>
                <w:b/>
                <w:sz w:val="21"/>
                <w:szCs w:val="21"/>
              </w:rPr>
              <w:t>：</w:t>
            </w:r>
            <w:r>
              <w:rPr>
                <w:rFonts w:hint="eastAsia" w:eastAsia="宋体"/>
                <w:b w:val="0"/>
                <w:bCs/>
                <w:sz w:val="21"/>
                <w:szCs w:val="21"/>
              </w:rPr>
              <w:t>采取清污分流、厂区分区防渗、对污废水进行渗漏检测及地下水污染监控。。</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89606C-34F1-4824-A282-177EDE19B1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8134198-A04A-4824-9C32-4512C35D489F}"/>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2000000000000000000"/>
    <w:charset w:val="86"/>
    <w:family w:val="script"/>
    <w:pitch w:val="default"/>
    <w:sig w:usb0="A00002BF" w:usb1="38CF7CFA" w:usb2="00082016" w:usb3="00000000" w:csb0="00040001" w:csb1="00000000"/>
    <w:embedRegular r:id="rId3" w:fontKey="{ABFAB886-9CD0-4B99-B181-7043FD3373BE}"/>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mM2U0NWU2NTg4YTBiNzU4YTE1Njg5NDgzMzY2ZmQifQ=="/>
  </w:docVars>
  <w:rsids>
    <w:rsidRoot w:val="58BD450E"/>
    <w:rsid w:val="008C57AE"/>
    <w:rsid w:val="05C37EDE"/>
    <w:rsid w:val="11BD12AB"/>
    <w:rsid w:val="17F14DF6"/>
    <w:rsid w:val="3A7726A3"/>
    <w:rsid w:val="3D823F40"/>
    <w:rsid w:val="3FBE1045"/>
    <w:rsid w:val="43B048B6"/>
    <w:rsid w:val="4BD35474"/>
    <w:rsid w:val="563E2421"/>
    <w:rsid w:val="58543908"/>
    <w:rsid w:val="58BD450E"/>
    <w:rsid w:val="5DE52235"/>
    <w:rsid w:val="76556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4"/>
    <w:basedOn w:val="1"/>
    <w:next w:val="1"/>
    <w:autoRedefine/>
    <w:unhideWhenUsed/>
    <w:qFormat/>
    <w:uiPriority w:val="9"/>
    <w:pPr>
      <w:keepNext/>
      <w:keepLines/>
      <w:spacing w:before="280" w:after="290" w:line="376" w:lineRule="auto"/>
      <w:outlineLvl w:val="3"/>
    </w:pPr>
    <w:rPr>
      <w:rFonts w:ascii="Cambria" w:hAnsi="Cambria"/>
      <w:b/>
      <w:bCs/>
      <w:sz w:val="28"/>
      <w:szCs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next w:val="1"/>
    <w:autoRedefine/>
    <w:qFormat/>
    <w:uiPriority w:val="0"/>
    <w:rPr>
      <w:rFonts w:ascii="宋体" w:hAnsi="Courier New" w:cs="Courier New"/>
      <w:szCs w:val="21"/>
    </w:rPr>
  </w:style>
  <w:style w:type="paragraph" w:styleId="4">
    <w:name w:val="Normal Indent"/>
    <w:basedOn w:val="1"/>
    <w:next w:val="3"/>
    <w:qFormat/>
    <w:uiPriority w:val="0"/>
    <w:pPr>
      <w:ind w:firstLine="420" w:firstLineChars="200"/>
    </w:pPr>
    <w:rPr>
      <w:sz w:val="28"/>
      <w:szCs w:val="24"/>
    </w:rPr>
  </w:style>
  <w:style w:type="paragraph" w:customStyle="1" w:styleId="7">
    <w:name w:val="报告正文"/>
    <w:basedOn w:val="1"/>
    <w:autoRedefine/>
    <w:qFormat/>
    <w:uiPriority w:val="0"/>
    <w:pPr>
      <w:snapToGrid w:val="0"/>
      <w:spacing w:line="360" w:lineRule="auto"/>
      <w:ind w:left="0" w:leftChars="0" w:firstLine="420" w:firstLineChars="200"/>
    </w:pPr>
    <w:rPr>
      <w:rFonts w:hint="eastAsia" w:ascii="Times New Roman" w:hAnsi="Times New Roman" w:eastAsia="宋体" w:cs="Times New Roman"/>
      <w:sz w:val="24"/>
    </w:rPr>
  </w:style>
  <w:style w:type="character" w:customStyle="1" w:styleId="8">
    <w:name w:val="报告正文 Char"/>
    <w:link w:val="9"/>
    <w:autoRedefine/>
    <w:qFormat/>
    <w:uiPriority w:val="0"/>
    <w:rPr>
      <w:rFonts w:hint="eastAsia" w:ascii="Times New Roman" w:hAnsi="Times New Roman" w:eastAsia="宋体" w:cs="Times New Roman"/>
      <w:sz w:val="24"/>
    </w:rPr>
  </w:style>
  <w:style w:type="paragraph" w:customStyle="1" w:styleId="9">
    <w:name w:val="l报告正文"/>
    <w:basedOn w:val="1"/>
    <w:link w:val="8"/>
    <w:autoRedefine/>
    <w:qFormat/>
    <w:uiPriority w:val="0"/>
    <w:pPr>
      <w:snapToGrid w:val="0"/>
      <w:spacing w:line="360" w:lineRule="auto"/>
      <w:ind w:left="0" w:leftChars="0" w:firstLine="420" w:firstLineChars="200"/>
    </w:pPr>
    <w:rPr>
      <w:rFonts w:hint="eastAsia" w:ascii="Times New Roman" w:hAnsi="Times New Roman" w:eastAsia="宋体" w:cs="Times New Roman"/>
      <w:sz w:val="24"/>
    </w:rPr>
  </w:style>
  <w:style w:type="paragraph" w:customStyle="1" w:styleId="10">
    <w:name w:val="表格、图名称"/>
    <w:basedOn w:val="7"/>
    <w:next w:val="7"/>
    <w:autoRedefine/>
    <w:qFormat/>
    <w:uiPriority w:val="0"/>
    <w:pPr>
      <w:spacing w:line="240" w:lineRule="auto"/>
      <w:ind w:firstLine="0" w:firstLineChars="0"/>
      <w:jc w:val="center"/>
    </w:pPr>
    <w:rPr>
      <w:b/>
      <w:color w:val="auto"/>
    </w:rPr>
  </w:style>
  <w:style w:type="character" w:customStyle="1" w:styleId="11">
    <w:name w:val="表格、图名称 Char"/>
    <w:link w:val="12"/>
    <w:autoRedefine/>
    <w:qFormat/>
    <w:uiPriority w:val="0"/>
    <w:rPr>
      <w:rFonts w:eastAsia="宋体"/>
      <w:b/>
      <w:color w:val="auto"/>
    </w:rPr>
  </w:style>
  <w:style w:type="paragraph" w:customStyle="1" w:styleId="12">
    <w:name w:val="l表格、图名称"/>
    <w:basedOn w:val="9"/>
    <w:next w:val="9"/>
    <w:link w:val="11"/>
    <w:autoRedefine/>
    <w:qFormat/>
    <w:uiPriority w:val="0"/>
    <w:pPr>
      <w:spacing w:line="240" w:lineRule="auto"/>
      <w:ind w:firstLine="0" w:firstLineChars="0"/>
      <w:jc w:val="center"/>
    </w:pPr>
    <w:rPr>
      <w:b/>
      <w:color w:val="auto"/>
    </w:rPr>
  </w:style>
  <w:style w:type="paragraph" w:customStyle="1" w:styleId="13">
    <w:name w:val="表格文字"/>
    <w:basedOn w:val="1"/>
    <w:next w:val="7"/>
    <w:autoRedefine/>
    <w:qFormat/>
    <w:uiPriority w:val="0"/>
    <w:pPr>
      <w:snapToGrid w:val="0"/>
      <w:ind w:firstLine="0" w:firstLineChars="0"/>
      <w:jc w:val="center"/>
    </w:pPr>
    <w:rPr>
      <w:rFonts w:hint="eastAsia" w:ascii="Times New Roman" w:hAnsi="Times New Roman" w:eastAsia="宋体" w:cs="Times New Roman"/>
      <w:color w:val="auto"/>
    </w:rPr>
  </w:style>
  <w:style w:type="character" w:customStyle="1" w:styleId="14">
    <w:name w:val="表格文字 Char"/>
    <w:link w:val="15"/>
    <w:autoRedefine/>
    <w:qFormat/>
    <w:uiPriority w:val="0"/>
    <w:rPr>
      <w:rFonts w:hint="eastAsia" w:ascii="Times New Roman" w:hAnsi="Times New Roman" w:eastAsia="宋体" w:cs="Times New Roman"/>
      <w:color w:val="auto"/>
    </w:rPr>
  </w:style>
  <w:style w:type="paragraph" w:customStyle="1" w:styleId="15">
    <w:name w:val="l表格文字"/>
    <w:basedOn w:val="1"/>
    <w:next w:val="9"/>
    <w:link w:val="14"/>
    <w:autoRedefine/>
    <w:qFormat/>
    <w:uiPriority w:val="0"/>
    <w:pPr>
      <w:snapToGrid w:val="0"/>
      <w:ind w:firstLine="0" w:firstLineChars="0"/>
      <w:jc w:val="center"/>
    </w:pPr>
    <w:rPr>
      <w:rFonts w:hint="eastAsia" w:ascii="Times New Roman" w:hAnsi="Times New Roman" w:eastAsia="宋体" w:cs="Times New Roman"/>
      <w:color w:val="auto"/>
    </w:rPr>
  </w:style>
  <w:style w:type="paragraph" w:customStyle="1" w:styleId="16">
    <w:name w:val="文本正文"/>
    <w:basedOn w:val="1"/>
    <w:autoRedefine/>
    <w:qFormat/>
    <w:uiPriority w:val="39"/>
    <w:pPr>
      <w:autoSpaceDE w:val="0"/>
      <w:autoSpaceDN w:val="0"/>
      <w:adjustRightInd w:val="0"/>
      <w:spacing w:line="360" w:lineRule="auto"/>
      <w:ind w:firstLine="510"/>
      <w:textAlignment w:val="baseline"/>
    </w:pPr>
    <w:rPr>
      <w:rFonts w:ascii="宋体" w:hAnsi="宋体"/>
      <w:snapToGrid w:val="0"/>
      <w:color w:val="000000"/>
      <w:spacing w:val="4"/>
      <w:kern w:val="18"/>
      <w:sz w:val="24"/>
      <w:szCs w:val="24"/>
    </w:rPr>
  </w:style>
  <w:style w:type="paragraph" w:customStyle="1" w:styleId="17">
    <w:name w:val="正常段落"/>
    <w:basedOn w:val="4"/>
    <w:autoRedefine/>
    <w:qFormat/>
    <w:uiPriority w:val="0"/>
    <w:pPr>
      <w:spacing w:line="440" w:lineRule="exact"/>
      <w:ind w:firstLine="0" w:firstLineChars="0"/>
    </w:pPr>
    <w:rPr>
      <w:rFonts w:ascii="宋体"/>
      <w:sz w:val="24"/>
      <w:szCs w:val="20"/>
    </w:rPr>
  </w:style>
  <w:style w:type="paragraph" w:customStyle="1" w:styleId="18">
    <w:name w:val="ly报告正文"/>
    <w:basedOn w:val="1"/>
    <w:autoRedefine/>
    <w:qFormat/>
    <w:uiPriority w:val="0"/>
    <w:pPr>
      <w:snapToGrid w:val="0"/>
      <w:spacing w:line="360" w:lineRule="auto"/>
      <w:ind w:firstLine="420" w:firstLineChars="200"/>
    </w:pPr>
    <w:rPr>
      <w:rFonts w:ascii="Times New Roman" w:hAnsi="Times New Roman" w:eastAsia="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2607</Words>
  <Characters>2746</Characters>
  <Lines>0</Lines>
  <Paragraphs>0</Paragraphs>
  <TotalTime>2</TotalTime>
  <ScaleCrop>false</ScaleCrop>
  <LinksUpToDate>false</LinksUpToDate>
  <CharactersWithSpaces>2769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2022-05-20T08:28:00Z</dcterms:created>
  <dc:creator>亦久亦旧</dc:creator>
  <cp:lastModifiedBy>亦久亦旧</cp:lastModifiedBy>
  <dcterms:modified xsi:type="dcterms:W3CDTF">2023-12-27T06:31:06Z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65ADE6A9E8C24ACCBF936C788B2AAE26</vt:lpwstr>
  </property>
</Properties>
</file>